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237"/>
      </w:tblGrid>
      <w:tr w:rsidR="00FF237C" w:rsidRPr="00F81FAE" w:rsidTr="002F4C88">
        <w:tc>
          <w:tcPr>
            <w:tcW w:w="2518" w:type="dxa"/>
          </w:tcPr>
          <w:p w:rsidR="00FF237C" w:rsidRPr="00F81FAE" w:rsidRDefault="00FF237C" w:rsidP="002F4C88">
            <w:pPr>
              <w:spacing w:after="0" w:line="240" w:lineRule="auto"/>
              <w:jc w:val="both"/>
              <w:rPr>
                <w:rFonts w:ascii="Arial" w:hAnsi="Arial" w:cs="Arial"/>
                <w:sz w:val="24"/>
                <w:szCs w:val="24"/>
                <w:lang w:val="es-CO"/>
              </w:rPr>
            </w:pPr>
            <w:r w:rsidRPr="61A3844D">
              <w:rPr>
                <w:rFonts w:ascii="Arial" w:eastAsia="Arial" w:hAnsi="Arial" w:cs="Arial"/>
                <w:sz w:val="24"/>
                <w:szCs w:val="24"/>
                <w:lang w:val="es-CO"/>
              </w:rPr>
              <w:t>Número de expediente</w:t>
            </w:r>
          </w:p>
        </w:tc>
        <w:tc>
          <w:tcPr>
            <w:tcW w:w="6237" w:type="dxa"/>
          </w:tcPr>
          <w:p w:rsidR="00FF237C" w:rsidRPr="00F81FAE" w:rsidRDefault="00FF237C" w:rsidP="002F4C88">
            <w:pPr>
              <w:spacing w:after="0" w:line="240" w:lineRule="auto"/>
              <w:jc w:val="both"/>
              <w:rPr>
                <w:rFonts w:ascii="Arial" w:hAnsi="Arial" w:cs="Arial"/>
                <w:sz w:val="24"/>
                <w:szCs w:val="24"/>
                <w:lang w:val="es-CO"/>
              </w:rPr>
            </w:pPr>
            <w:r>
              <w:rPr>
                <w:rFonts w:ascii="Arial" w:eastAsia="Arial" w:hAnsi="Arial" w:cs="Arial"/>
                <w:sz w:val="24"/>
                <w:szCs w:val="24"/>
                <w:lang w:val="es-CO"/>
              </w:rPr>
              <w:t>D-11296</w:t>
            </w:r>
          </w:p>
        </w:tc>
      </w:tr>
      <w:tr w:rsidR="00FF237C" w:rsidRPr="00F81FAE" w:rsidTr="002F4C88">
        <w:tc>
          <w:tcPr>
            <w:tcW w:w="2518" w:type="dxa"/>
          </w:tcPr>
          <w:p w:rsidR="00FF237C" w:rsidRPr="00F81FAE" w:rsidRDefault="00FF237C" w:rsidP="002F4C88">
            <w:pPr>
              <w:spacing w:after="0" w:line="240" w:lineRule="auto"/>
              <w:jc w:val="both"/>
              <w:rPr>
                <w:rFonts w:ascii="Arial" w:hAnsi="Arial" w:cs="Arial"/>
                <w:sz w:val="24"/>
                <w:szCs w:val="24"/>
                <w:lang w:val="es-CO"/>
              </w:rPr>
            </w:pPr>
            <w:r w:rsidRPr="61A3844D">
              <w:rPr>
                <w:rFonts w:ascii="Arial" w:eastAsia="Arial" w:hAnsi="Arial" w:cs="Arial"/>
                <w:sz w:val="24"/>
                <w:szCs w:val="24"/>
                <w:lang w:val="es-CO"/>
              </w:rPr>
              <w:t>Magistrado Ponente</w:t>
            </w:r>
          </w:p>
        </w:tc>
        <w:tc>
          <w:tcPr>
            <w:tcW w:w="6237" w:type="dxa"/>
          </w:tcPr>
          <w:p w:rsidR="00FF237C" w:rsidRPr="00F81FAE" w:rsidRDefault="00FF237C" w:rsidP="002F4C88">
            <w:pPr>
              <w:spacing w:after="0" w:line="240" w:lineRule="auto"/>
              <w:jc w:val="both"/>
              <w:rPr>
                <w:rFonts w:ascii="Arial" w:hAnsi="Arial" w:cs="Arial"/>
                <w:sz w:val="24"/>
                <w:szCs w:val="24"/>
                <w:lang w:val="es-CO"/>
              </w:rPr>
            </w:pPr>
            <w:r>
              <w:rPr>
                <w:rFonts w:ascii="Arial" w:eastAsia="Arial" w:hAnsi="Arial" w:cs="Arial"/>
                <w:sz w:val="24"/>
                <w:szCs w:val="24"/>
                <w:lang w:val="es-CO"/>
              </w:rPr>
              <w:t xml:space="preserve">Jorge Iván Palacio </w:t>
            </w:r>
            <w:proofErr w:type="spellStart"/>
            <w:r>
              <w:rPr>
                <w:rFonts w:ascii="Arial" w:eastAsia="Arial" w:hAnsi="Arial" w:cs="Arial"/>
                <w:sz w:val="24"/>
                <w:szCs w:val="24"/>
                <w:lang w:val="es-CO"/>
              </w:rPr>
              <w:t>Palacio</w:t>
            </w:r>
            <w:proofErr w:type="spellEnd"/>
          </w:p>
        </w:tc>
      </w:tr>
      <w:tr w:rsidR="00FF237C" w:rsidRPr="00F81FAE" w:rsidTr="002F4C88">
        <w:tc>
          <w:tcPr>
            <w:tcW w:w="2518" w:type="dxa"/>
          </w:tcPr>
          <w:p w:rsidR="00FF237C" w:rsidRPr="00F81FAE" w:rsidRDefault="00FF237C" w:rsidP="002F4C88">
            <w:pPr>
              <w:spacing w:after="0" w:line="240" w:lineRule="auto"/>
              <w:jc w:val="both"/>
              <w:rPr>
                <w:rFonts w:ascii="Arial" w:hAnsi="Arial" w:cs="Arial"/>
                <w:sz w:val="24"/>
                <w:szCs w:val="24"/>
                <w:lang w:val="es-CO"/>
              </w:rPr>
            </w:pPr>
            <w:r w:rsidRPr="61A3844D">
              <w:rPr>
                <w:rFonts w:ascii="Arial" w:eastAsia="Arial" w:hAnsi="Arial" w:cs="Arial"/>
                <w:sz w:val="24"/>
                <w:szCs w:val="24"/>
                <w:lang w:val="es-CO"/>
              </w:rPr>
              <w:t>Fecha</w:t>
            </w:r>
          </w:p>
        </w:tc>
        <w:tc>
          <w:tcPr>
            <w:tcW w:w="6237" w:type="dxa"/>
          </w:tcPr>
          <w:p w:rsidR="00FF237C" w:rsidRPr="00F81FAE" w:rsidRDefault="00FF237C" w:rsidP="002F4C88">
            <w:pPr>
              <w:spacing w:after="0" w:line="240" w:lineRule="auto"/>
              <w:jc w:val="both"/>
              <w:rPr>
                <w:rFonts w:ascii="Arial" w:hAnsi="Arial" w:cs="Arial"/>
                <w:sz w:val="24"/>
                <w:szCs w:val="24"/>
                <w:lang w:val="es-CO"/>
              </w:rPr>
            </w:pPr>
            <w:r>
              <w:rPr>
                <w:rFonts w:ascii="Arial" w:eastAsia="Arial" w:hAnsi="Arial" w:cs="Arial"/>
                <w:sz w:val="24"/>
                <w:szCs w:val="24"/>
                <w:lang w:val="es-CO"/>
              </w:rPr>
              <w:t>24 de febrero de 2016</w:t>
            </w:r>
          </w:p>
        </w:tc>
      </w:tr>
      <w:tr w:rsidR="00FF237C" w:rsidRPr="00F81FAE" w:rsidTr="002F4C88">
        <w:tc>
          <w:tcPr>
            <w:tcW w:w="2518" w:type="dxa"/>
          </w:tcPr>
          <w:p w:rsidR="00FF237C" w:rsidRPr="00F81FAE" w:rsidRDefault="00FF237C" w:rsidP="002F4C88">
            <w:pPr>
              <w:spacing w:after="0" w:line="240" w:lineRule="auto"/>
              <w:jc w:val="both"/>
              <w:rPr>
                <w:rFonts w:ascii="Arial" w:hAnsi="Arial" w:cs="Arial"/>
                <w:sz w:val="24"/>
                <w:szCs w:val="24"/>
                <w:lang w:val="es-CO"/>
              </w:rPr>
            </w:pPr>
            <w:r w:rsidRPr="61A3844D">
              <w:rPr>
                <w:rFonts w:ascii="Arial" w:eastAsia="Arial" w:hAnsi="Arial" w:cs="Arial"/>
                <w:sz w:val="24"/>
                <w:szCs w:val="24"/>
                <w:lang w:val="es-CO"/>
              </w:rPr>
              <w:t>Tema</w:t>
            </w:r>
          </w:p>
        </w:tc>
        <w:tc>
          <w:tcPr>
            <w:tcW w:w="6237" w:type="dxa"/>
          </w:tcPr>
          <w:p w:rsidR="00FF237C" w:rsidRPr="00F81FAE" w:rsidRDefault="00FF237C" w:rsidP="002F4C88">
            <w:pPr>
              <w:spacing w:after="0" w:line="240" w:lineRule="auto"/>
              <w:jc w:val="both"/>
              <w:rPr>
                <w:rFonts w:ascii="Arial" w:hAnsi="Arial" w:cs="Arial"/>
                <w:sz w:val="24"/>
                <w:szCs w:val="24"/>
                <w:lang w:val="es-CO"/>
              </w:rPr>
            </w:pPr>
            <w:r>
              <w:rPr>
                <w:rFonts w:ascii="Arial" w:eastAsia="Arial" w:hAnsi="Arial" w:cs="Arial"/>
                <w:sz w:val="24"/>
                <w:szCs w:val="24"/>
                <w:lang w:val="es-CO"/>
              </w:rPr>
              <w:t>Contenido de la sentencia y mandamiento ejecutivo</w:t>
            </w:r>
            <w:r>
              <w:rPr>
                <w:rFonts w:ascii="Arial" w:eastAsia="Arial" w:hAnsi="Arial" w:cs="Arial"/>
                <w:sz w:val="24"/>
                <w:szCs w:val="24"/>
                <w:lang w:val="es-CO"/>
              </w:rPr>
              <w:t>.</w:t>
            </w:r>
          </w:p>
        </w:tc>
      </w:tr>
      <w:tr w:rsidR="00FF237C" w:rsidRPr="00F81FAE" w:rsidTr="002F4C88">
        <w:tc>
          <w:tcPr>
            <w:tcW w:w="2518" w:type="dxa"/>
          </w:tcPr>
          <w:p w:rsidR="00FF237C" w:rsidRPr="00F81FAE" w:rsidRDefault="00FF237C" w:rsidP="002F4C88">
            <w:pPr>
              <w:spacing w:after="0" w:line="240" w:lineRule="auto"/>
              <w:jc w:val="both"/>
              <w:rPr>
                <w:rFonts w:ascii="Arial" w:hAnsi="Arial" w:cs="Arial"/>
                <w:sz w:val="24"/>
                <w:szCs w:val="24"/>
                <w:lang w:val="es-CO"/>
              </w:rPr>
            </w:pPr>
            <w:r w:rsidRPr="61A3844D">
              <w:rPr>
                <w:rFonts w:ascii="Arial" w:eastAsia="Arial" w:hAnsi="Arial" w:cs="Arial"/>
                <w:sz w:val="24"/>
                <w:szCs w:val="24"/>
                <w:lang w:val="es-CO"/>
              </w:rPr>
              <w:t>Norma demandada</w:t>
            </w:r>
          </w:p>
        </w:tc>
        <w:tc>
          <w:tcPr>
            <w:tcW w:w="6237" w:type="dxa"/>
          </w:tcPr>
          <w:p w:rsidR="00FF237C" w:rsidRPr="00F81FAE" w:rsidRDefault="00FF237C" w:rsidP="002F4C88">
            <w:pPr>
              <w:pStyle w:val="NormalWeb"/>
              <w:contextualSpacing/>
              <w:jc w:val="both"/>
            </w:pPr>
            <w:r>
              <w:rPr>
                <w:rFonts w:ascii="Arial" w:eastAsia="Arial" w:hAnsi="Arial" w:cs="Arial"/>
                <w:b/>
                <w:bCs/>
                <w:color w:val="000000"/>
                <w:shd w:val="clear" w:color="auto" w:fill="FFFFFF"/>
              </w:rPr>
              <w:t xml:space="preserve">Ley 1564 </w:t>
            </w:r>
            <w:r w:rsidR="0007176F">
              <w:rPr>
                <w:rFonts w:ascii="Arial" w:eastAsia="Arial" w:hAnsi="Arial" w:cs="Arial"/>
                <w:b/>
                <w:bCs/>
                <w:color w:val="000000"/>
                <w:shd w:val="clear" w:color="auto" w:fill="FFFFFF"/>
              </w:rPr>
              <w:t>de 2012. Artículo 280</w:t>
            </w:r>
          </w:p>
          <w:p w:rsidR="00FF237C" w:rsidRPr="00F81FAE" w:rsidRDefault="00FF237C" w:rsidP="002F4C88">
            <w:pPr>
              <w:pStyle w:val="NormalWeb"/>
              <w:contextualSpacing/>
              <w:jc w:val="both"/>
            </w:pPr>
          </w:p>
          <w:p w:rsidR="00FF237C" w:rsidRDefault="00FF237C" w:rsidP="0007176F">
            <w:pPr>
              <w:pStyle w:val="NormalWeb"/>
              <w:contextualSpacing/>
              <w:jc w:val="both"/>
              <w:rPr>
                <w:rFonts w:ascii="Arial" w:eastAsia="Arial" w:hAnsi="Arial" w:cs="Arial"/>
                <w:iCs/>
              </w:rPr>
            </w:pPr>
            <w:r>
              <w:rPr>
                <w:rFonts w:ascii="Arial" w:eastAsia="Arial" w:hAnsi="Arial" w:cs="Arial"/>
                <w:i/>
                <w:iCs/>
              </w:rPr>
              <w:t>''</w:t>
            </w:r>
            <w:r w:rsidR="0007176F">
              <w:rPr>
                <w:rFonts w:ascii="Arial" w:eastAsia="Arial" w:hAnsi="Arial" w:cs="Arial"/>
                <w:i/>
                <w:iCs/>
              </w:rPr>
              <w:t xml:space="preserve"> (...) La parte resolutiva se proferirá bajo la fórmula “administrando justicia en nombre de la república </w:t>
            </w:r>
            <w:r w:rsidR="0007176F" w:rsidRPr="0007176F">
              <w:rPr>
                <w:rFonts w:ascii="Arial" w:eastAsia="Arial" w:hAnsi="Arial" w:cs="Arial"/>
                <w:i/>
                <w:iCs/>
                <w:u w:val="single"/>
              </w:rPr>
              <w:t xml:space="preserve">de Colombia </w:t>
            </w:r>
            <w:r w:rsidR="0007176F">
              <w:rPr>
                <w:rFonts w:ascii="Arial" w:eastAsia="Arial" w:hAnsi="Arial" w:cs="Arial"/>
                <w:i/>
                <w:iCs/>
              </w:rPr>
              <w:t>y por autoridad de la ley…”</w:t>
            </w:r>
            <w:r>
              <w:rPr>
                <w:rFonts w:ascii="Arial" w:eastAsia="Arial" w:hAnsi="Arial" w:cs="Arial"/>
                <w:i/>
                <w:iCs/>
              </w:rPr>
              <w:t>.</w:t>
            </w:r>
            <w:r w:rsidR="0007176F">
              <w:rPr>
                <w:rFonts w:ascii="Arial" w:eastAsia="Arial" w:hAnsi="Arial" w:cs="Arial"/>
                <w:i/>
                <w:iCs/>
              </w:rPr>
              <w:t xml:space="preserve"> </w:t>
            </w:r>
            <w:r w:rsidR="0007176F">
              <w:rPr>
                <w:rFonts w:ascii="Arial" w:eastAsia="Arial" w:hAnsi="Arial" w:cs="Arial"/>
                <w:iCs/>
              </w:rPr>
              <w:t>Subrayas fuera del texto).</w:t>
            </w:r>
          </w:p>
          <w:p w:rsidR="0007176F" w:rsidRDefault="0007176F" w:rsidP="0007176F">
            <w:pPr>
              <w:pStyle w:val="NormalWeb"/>
              <w:contextualSpacing/>
              <w:jc w:val="both"/>
              <w:rPr>
                <w:rFonts w:ascii="Arial" w:eastAsia="Arial" w:hAnsi="Arial" w:cs="Arial"/>
                <w:iCs/>
              </w:rPr>
            </w:pPr>
          </w:p>
          <w:p w:rsidR="0007176F" w:rsidRDefault="0007176F" w:rsidP="0007176F">
            <w:pPr>
              <w:pStyle w:val="NormalWeb"/>
              <w:contextualSpacing/>
              <w:jc w:val="both"/>
              <w:rPr>
                <w:rFonts w:ascii="Arial" w:eastAsia="Arial" w:hAnsi="Arial" w:cs="Arial"/>
                <w:b/>
                <w:bCs/>
                <w:color w:val="000000"/>
                <w:shd w:val="clear" w:color="auto" w:fill="FFFFFF"/>
              </w:rPr>
            </w:pPr>
            <w:r>
              <w:rPr>
                <w:rFonts w:ascii="Arial" w:eastAsia="Arial" w:hAnsi="Arial" w:cs="Arial"/>
                <w:b/>
                <w:bCs/>
                <w:color w:val="000000"/>
                <w:shd w:val="clear" w:color="auto" w:fill="FFFFFF"/>
              </w:rPr>
              <w:t xml:space="preserve">Ley 1564 de 2012. </w:t>
            </w:r>
            <w:r>
              <w:rPr>
                <w:rFonts w:ascii="Arial" w:eastAsia="Arial" w:hAnsi="Arial" w:cs="Arial"/>
                <w:b/>
                <w:bCs/>
                <w:color w:val="000000"/>
                <w:shd w:val="clear" w:color="auto" w:fill="FFFFFF"/>
              </w:rPr>
              <w:t>Artículo 430</w:t>
            </w:r>
          </w:p>
          <w:p w:rsidR="0007176F" w:rsidRDefault="0007176F" w:rsidP="0007176F">
            <w:pPr>
              <w:pStyle w:val="NormalWeb"/>
              <w:contextualSpacing/>
              <w:jc w:val="both"/>
              <w:rPr>
                <w:rFonts w:ascii="Arial" w:eastAsia="Arial" w:hAnsi="Arial" w:cs="Arial"/>
                <w:b/>
                <w:bCs/>
                <w:color w:val="000000"/>
                <w:shd w:val="clear" w:color="auto" w:fill="FFFFFF"/>
              </w:rPr>
            </w:pPr>
          </w:p>
          <w:p w:rsidR="0007176F" w:rsidRDefault="0007176F" w:rsidP="0007176F">
            <w:pPr>
              <w:pStyle w:val="NormalWeb"/>
              <w:contextualSpacing/>
              <w:jc w:val="both"/>
              <w:rPr>
                <w:rFonts w:ascii="Arial" w:eastAsia="Arial" w:hAnsi="Arial" w:cs="Arial"/>
                <w:iCs/>
              </w:rPr>
            </w:pPr>
            <w:r w:rsidRPr="0007176F">
              <w:rPr>
                <w:rFonts w:ascii="Arial" w:eastAsia="Arial" w:hAnsi="Arial" w:cs="Arial"/>
                <w:bCs/>
                <w:i/>
                <w:color w:val="000000"/>
                <w:shd w:val="clear" w:color="auto" w:fill="FFFFFF"/>
              </w:rPr>
              <w:t xml:space="preserve">“(…) Los requisitos formales del título sólo podrán discutirse mediante recurso de reposición contra el mandamiento ejecutivo. No se admitirá ninguna controversia sobre los requisitos del título que no haya sido planteada por medio de dicho recurso. </w:t>
            </w:r>
            <w:r w:rsidRPr="0007176F">
              <w:rPr>
                <w:rFonts w:ascii="Arial" w:eastAsia="Arial" w:hAnsi="Arial" w:cs="Arial"/>
                <w:bCs/>
                <w:i/>
                <w:color w:val="000000"/>
                <w:u w:val="single"/>
                <w:shd w:val="clear" w:color="auto" w:fill="FFFFFF"/>
              </w:rPr>
              <w:t>En consecuencia, los defectos formales del título ejecutivo no podrán reconocerse o declararse por el juez en la sentencia o en el auto que ordene seguir adelante con la ejecución, según fuere el caso</w:t>
            </w:r>
            <w:r w:rsidRPr="0007176F">
              <w:rPr>
                <w:rFonts w:ascii="Arial" w:eastAsia="Arial" w:hAnsi="Arial" w:cs="Arial"/>
                <w:bCs/>
                <w:i/>
                <w:color w:val="000000"/>
                <w:shd w:val="clear" w:color="auto" w:fill="FFFFFF"/>
              </w:rPr>
              <w:t>”.</w:t>
            </w:r>
            <w:r>
              <w:rPr>
                <w:rFonts w:ascii="Arial" w:eastAsia="Arial" w:hAnsi="Arial" w:cs="Arial"/>
                <w:bCs/>
                <w:i/>
                <w:color w:val="000000"/>
                <w:shd w:val="clear" w:color="auto" w:fill="FFFFFF"/>
              </w:rPr>
              <w:t xml:space="preserve"> </w:t>
            </w:r>
            <w:r>
              <w:rPr>
                <w:rFonts w:ascii="Arial" w:eastAsia="Arial" w:hAnsi="Arial" w:cs="Arial"/>
                <w:bCs/>
                <w:color w:val="000000"/>
                <w:shd w:val="clear" w:color="auto" w:fill="FFFFFF"/>
              </w:rPr>
              <w:t>(Subrayas fuera del texto).</w:t>
            </w:r>
          </w:p>
          <w:p w:rsidR="0007176F" w:rsidRPr="0007176F" w:rsidRDefault="0007176F" w:rsidP="0007176F">
            <w:pPr>
              <w:pStyle w:val="NormalWeb"/>
              <w:contextualSpacing/>
              <w:jc w:val="both"/>
              <w:rPr>
                <w:rFonts w:ascii="Arial" w:hAnsi="Arial" w:cs="Arial"/>
              </w:rPr>
            </w:pPr>
          </w:p>
        </w:tc>
      </w:tr>
    </w:tbl>
    <w:p w:rsidR="00FF237C" w:rsidRPr="00F81FAE" w:rsidRDefault="00FF237C" w:rsidP="00FF237C">
      <w:pPr>
        <w:jc w:val="both"/>
        <w:rPr>
          <w:rFonts w:ascii="Arial" w:hAnsi="Arial" w:cs="Arial"/>
          <w:b/>
          <w:sz w:val="24"/>
          <w:szCs w:val="24"/>
          <w:lang w:val="es-CO"/>
        </w:rPr>
      </w:pPr>
    </w:p>
    <w:p w:rsidR="00FF237C" w:rsidRPr="00F81FAE" w:rsidRDefault="00FF237C" w:rsidP="00FF237C">
      <w:pPr>
        <w:pStyle w:val="Prrafodelista"/>
        <w:numPr>
          <w:ilvl w:val="0"/>
          <w:numId w:val="1"/>
        </w:numPr>
        <w:jc w:val="both"/>
        <w:rPr>
          <w:rFonts w:ascii="Arial" w:eastAsia="Arial" w:hAnsi="Arial" w:cs="Arial"/>
          <w:sz w:val="24"/>
          <w:szCs w:val="24"/>
          <w:lang w:val="es-CO"/>
        </w:rPr>
      </w:pPr>
      <w:r w:rsidRPr="61A3844D">
        <w:rPr>
          <w:rFonts w:ascii="Arial" w:eastAsia="Arial" w:hAnsi="Arial" w:cs="Arial"/>
          <w:b/>
          <w:bCs/>
          <w:sz w:val="24"/>
          <w:szCs w:val="24"/>
          <w:lang w:val="es-CO"/>
        </w:rPr>
        <w:t>Cargos del accionante</w:t>
      </w:r>
    </w:p>
    <w:p w:rsidR="00FF237C" w:rsidRDefault="001A33C0" w:rsidP="00FF237C">
      <w:pPr>
        <w:jc w:val="both"/>
        <w:rPr>
          <w:rFonts w:ascii="Arial" w:eastAsia="Arial" w:hAnsi="Arial" w:cs="Arial"/>
          <w:sz w:val="24"/>
          <w:szCs w:val="24"/>
          <w:lang w:val="es-CO"/>
        </w:rPr>
      </w:pPr>
      <w:r>
        <w:rPr>
          <w:rFonts w:ascii="Arial" w:eastAsia="Arial" w:hAnsi="Arial" w:cs="Arial"/>
          <w:sz w:val="24"/>
          <w:szCs w:val="24"/>
          <w:lang w:val="es-CO"/>
        </w:rPr>
        <w:t>Respecto a la primera norma cuestionada, se considera que esta disposición, de carácter ordinario, deroga una norma de rango estatutario, pues el artículo 55 de la ley 270 de 1996 establece que se administra justicia en nombre de la República y por autoridad de la Ley, sin incluir la palabra “Colombia”.</w:t>
      </w:r>
    </w:p>
    <w:p w:rsidR="001A33C0" w:rsidRDefault="001A33C0" w:rsidP="00FF237C">
      <w:pPr>
        <w:jc w:val="both"/>
        <w:rPr>
          <w:rFonts w:ascii="Arial" w:eastAsia="Arial" w:hAnsi="Arial" w:cs="Arial"/>
          <w:sz w:val="24"/>
          <w:szCs w:val="24"/>
          <w:lang w:val="es-CO"/>
        </w:rPr>
      </w:pPr>
      <w:r>
        <w:rPr>
          <w:rFonts w:ascii="Arial" w:eastAsia="Arial" w:hAnsi="Arial" w:cs="Arial"/>
          <w:sz w:val="24"/>
          <w:szCs w:val="24"/>
          <w:lang w:val="es-CO"/>
        </w:rPr>
        <w:t>Y finalmente, en relación con</w:t>
      </w:r>
      <w:r w:rsidR="00E52CAC">
        <w:rPr>
          <w:rFonts w:ascii="Arial" w:eastAsia="Arial" w:hAnsi="Arial" w:cs="Arial"/>
          <w:sz w:val="24"/>
          <w:szCs w:val="24"/>
          <w:lang w:val="es-CO"/>
        </w:rPr>
        <w:t xml:space="preserve"> la segund</w:t>
      </w:r>
      <w:r w:rsidR="00AC0C19">
        <w:rPr>
          <w:rFonts w:ascii="Arial" w:eastAsia="Arial" w:hAnsi="Arial" w:cs="Arial"/>
          <w:sz w:val="24"/>
          <w:szCs w:val="24"/>
          <w:lang w:val="es-CO"/>
        </w:rPr>
        <w:t>a norma demandada se afirma que esta vulnera la primacía del derecho sustancial sobre las formas procesales, el acceso efectivo a la administración de justicia, pues en la sentencia o auto el juez tendría que dar paso a la ejecución aun cuando el título no cumpla con todos los requisitos para constituir título ejecutivo, pues le está prohibido realizar un control oficioso en el proceso ejecutivo.</w:t>
      </w:r>
      <w:bookmarkStart w:id="0" w:name="_GoBack"/>
      <w:bookmarkEnd w:id="0"/>
    </w:p>
    <w:p w:rsidR="00FF237C" w:rsidRPr="00F81FAE" w:rsidRDefault="00FF237C" w:rsidP="00FF237C">
      <w:pPr>
        <w:pStyle w:val="Prrafodelista"/>
        <w:numPr>
          <w:ilvl w:val="0"/>
          <w:numId w:val="1"/>
        </w:numPr>
        <w:jc w:val="both"/>
        <w:rPr>
          <w:rFonts w:ascii="Arial" w:eastAsia="Arial" w:hAnsi="Arial" w:cs="Arial"/>
          <w:sz w:val="24"/>
          <w:szCs w:val="24"/>
        </w:rPr>
      </w:pPr>
      <w:r w:rsidRPr="61A3844D">
        <w:rPr>
          <w:rFonts w:ascii="Arial" w:eastAsia="Arial" w:hAnsi="Arial" w:cs="Arial"/>
          <w:b/>
          <w:bCs/>
          <w:sz w:val="24"/>
          <w:szCs w:val="24"/>
          <w:lang w:val="es-CO"/>
        </w:rPr>
        <w:t>Actuación.</w:t>
      </w:r>
    </w:p>
    <w:p w:rsidR="00FF237C" w:rsidRPr="005B2F7D" w:rsidRDefault="00FF237C" w:rsidP="00FF237C">
      <w:pPr>
        <w:jc w:val="both"/>
        <w:rPr>
          <w:lang w:val="es-CO"/>
        </w:rPr>
      </w:pPr>
      <w:r w:rsidRPr="61A3844D">
        <w:rPr>
          <w:rFonts w:ascii="Arial" w:eastAsia="Arial" w:hAnsi="Arial" w:cs="Arial"/>
          <w:sz w:val="24"/>
          <w:szCs w:val="24"/>
          <w:lang w:val="es-CO"/>
        </w:rPr>
        <w:t>Demanda archivada por falta de subsanación dentro del término legal.</w:t>
      </w:r>
    </w:p>
    <w:p w:rsidR="00FF237C" w:rsidRPr="00FE5ADA" w:rsidRDefault="00FF237C" w:rsidP="00FF237C">
      <w:pPr>
        <w:rPr>
          <w:lang w:val="es-CO"/>
        </w:rPr>
      </w:pPr>
    </w:p>
    <w:p w:rsidR="00F27CCC" w:rsidRPr="00FF237C" w:rsidRDefault="00312954">
      <w:pPr>
        <w:rPr>
          <w:lang w:val="es-CO"/>
        </w:rPr>
      </w:pPr>
    </w:p>
    <w:sectPr w:rsidR="00F27CCC" w:rsidRPr="00FF237C" w:rsidSect="00D92E1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954" w:rsidRDefault="00312954" w:rsidP="00FF237C">
      <w:pPr>
        <w:spacing w:after="0" w:line="240" w:lineRule="auto"/>
      </w:pPr>
      <w:r>
        <w:separator/>
      </w:r>
    </w:p>
  </w:endnote>
  <w:endnote w:type="continuationSeparator" w:id="0">
    <w:p w:rsidR="00312954" w:rsidRDefault="00312954" w:rsidP="00FF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834"/>
      <w:gridCol w:w="2835"/>
      <w:gridCol w:w="2835"/>
    </w:tblGrid>
    <w:tr w:rsidR="46F2884F" w:rsidTr="46F2884F">
      <w:tc>
        <w:tcPr>
          <w:tcW w:w="2835" w:type="dxa"/>
        </w:tcPr>
        <w:p w:rsidR="46F2884F" w:rsidRDefault="00312954" w:rsidP="46F2884F">
          <w:pPr>
            <w:pStyle w:val="Encabezado"/>
            <w:ind w:left="-115"/>
          </w:pPr>
        </w:p>
      </w:tc>
      <w:tc>
        <w:tcPr>
          <w:tcW w:w="2835" w:type="dxa"/>
        </w:tcPr>
        <w:p w:rsidR="46F2884F" w:rsidRDefault="00312954" w:rsidP="46F2884F">
          <w:pPr>
            <w:pStyle w:val="Encabezado"/>
            <w:jc w:val="center"/>
          </w:pPr>
        </w:p>
      </w:tc>
      <w:tc>
        <w:tcPr>
          <w:tcW w:w="2835" w:type="dxa"/>
        </w:tcPr>
        <w:p w:rsidR="46F2884F" w:rsidRDefault="00312954" w:rsidP="46F2884F">
          <w:pPr>
            <w:pStyle w:val="Encabezado"/>
            <w:ind w:right="-115"/>
            <w:jc w:val="right"/>
          </w:pPr>
        </w:p>
      </w:tc>
    </w:tr>
  </w:tbl>
  <w:p w:rsidR="46F2884F" w:rsidRDefault="00312954" w:rsidP="46F288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954" w:rsidRDefault="00312954" w:rsidP="00FF237C">
      <w:pPr>
        <w:spacing w:after="0" w:line="240" w:lineRule="auto"/>
      </w:pPr>
      <w:r>
        <w:separator/>
      </w:r>
    </w:p>
  </w:footnote>
  <w:footnote w:type="continuationSeparator" w:id="0">
    <w:p w:rsidR="00312954" w:rsidRDefault="00312954" w:rsidP="00FF2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834"/>
      <w:gridCol w:w="2835"/>
      <w:gridCol w:w="2835"/>
    </w:tblGrid>
    <w:tr w:rsidR="46F2884F" w:rsidTr="61A3844D">
      <w:tc>
        <w:tcPr>
          <w:tcW w:w="2835" w:type="dxa"/>
        </w:tcPr>
        <w:p w:rsidR="46F2884F" w:rsidRDefault="00FF237C" w:rsidP="46F2884F">
          <w:pPr>
            <w:pStyle w:val="Encabezado"/>
            <w:ind w:left="-115"/>
          </w:pPr>
          <w:r>
            <w:t>EXP. D-11296</w:t>
          </w:r>
        </w:p>
      </w:tc>
      <w:tc>
        <w:tcPr>
          <w:tcW w:w="2835" w:type="dxa"/>
        </w:tcPr>
        <w:p w:rsidR="46F2884F" w:rsidRDefault="00312954" w:rsidP="46F2884F">
          <w:pPr>
            <w:pStyle w:val="Encabezado"/>
            <w:jc w:val="center"/>
          </w:pPr>
        </w:p>
      </w:tc>
      <w:tc>
        <w:tcPr>
          <w:tcW w:w="2835" w:type="dxa"/>
        </w:tcPr>
        <w:p w:rsidR="46F2884F" w:rsidRDefault="00312954" w:rsidP="46F2884F">
          <w:pPr>
            <w:pStyle w:val="Encabezado"/>
            <w:ind w:right="-115"/>
            <w:jc w:val="right"/>
          </w:pPr>
        </w:p>
      </w:tc>
    </w:tr>
    <w:tr w:rsidR="00060E3E" w:rsidTr="61A3844D">
      <w:tc>
        <w:tcPr>
          <w:tcW w:w="2835" w:type="dxa"/>
        </w:tcPr>
        <w:p w:rsidR="00060E3E" w:rsidRDefault="00312954" w:rsidP="46F2884F">
          <w:pPr>
            <w:pStyle w:val="Encabezado"/>
            <w:ind w:left="-115"/>
          </w:pPr>
        </w:p>
      </w:tc>
      <w:tc>
        <w:tcPr>
          <w:tcW w:w="2835" w:type="dxa"/>
        </w:tcPr>
        <w:p w:rsidR="00060E3E" w:rsidRDefault="00312954" w:rsidP="46F2884F">
          <w:pPr>
            <w:pStyle w:val="Encabezado"/>
            <w:jc w:val="center"/>
          </w:pPr>
        </w:p>
      </w:tc>
      <w:tc>
        <w:tcPr>
          <w:tcW w:w="2835" w:type="dxa"/>
        </w:tcPr>
        <w:p w:rsidR="00060E3E" w:rsidRDefault="00312954" w:rsidP="46F2884F">
          <w:pPr>
            <w:pStyle w:val="Encabezado"/>
            <w:ind w:right="-115"/>
            <w:jc w:val="right"/>
          </w:pPr>
        </w:p>
      </w:tc>
    </w:tr>
  </w:tbl>
  <w:p w:rsidR="46F2884F" w:rsidRDefault="00312954" w:rsidP="46F288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F6B83"/>
    <w:multiLevelType w:val="hybridMultilevel"/>
    <w:tmpl w:val="7A78E1D6"/>
    <w:lvl w:ilvl="0" w:tplc="8FB81B78">
      <w:start w:val="1"/>
      <w:numFmt w:val="upperRoman"/>
      <w:lvlText w:val="%1."/>
      <w:lvlJc w:val="left"/>
      <w:pPr>
        <w:ind w:left="720" w:hanging="360"/>
      </w:pPr>
    </w:lvl>
    <w:lvl w:ilvl="1" w:tplc="3DD22392">
      <w:start w:val="1"/>
      <w:numFmt w:val="lowerLetter"/>
      <w:lvlText w:val="%2."/>
      <w:lvlJc w:val="left"/>
      <w:pPr>
        <w:ind w:left="1440" w:hanging="360"/>
      </w:pPr>
    </w:lvl>
    <w:lvl w:ilvl="2" w:tplc="0E5641A2">
      <w:start w:val="1"/>
      <w:numFmt w:val="lowerRoman"/>
      <w:lvlText w:val="%3."/>
      <w:lvlJc w:val="right"/>
      <w:pPr>
        <w:ind w:left="2160" w:hanging="180"/>
      </w:pPr>
    </w:lvl>
    <w:lvl w:ilvl="3" w:tplc="45E610AE">
      <w:start w:val="1"/>
      <w:numFmt w:val="decimal"/>
      <w:lvlText w:val="%4."/>
      <w:lvlJc w:val="left"/>
      <w:pPr>
        <w:ind w:left="2880" w:hanging="360"/>
      </w:pPr>
    </w:lvl>
    <w:lvl w:ilvl="4" w:tplc="4CA26466">
      <w:start w:val="1"/>
      <w:numFmt w:val="lowerLetter"/>
      <w:lvlText w:val="%5."/>
      <w:lvlJc w:val="left"/>
      <w:pPr>
        <w:ind w:left="3600" w:hanging="360"/>
      </w:pPr>
    </w:lvl>
    <w:lvl w:ilvl="5" w:tplc="31505152">
      <w:start w:val="1"/>
      <w:numFmt w:val="lowerRoman"/>
      <w:lvlText w:val="%6."/>
      <w:lvlJc w:val="right"/>
      <w:pPr>
        <w:ind w:left="4320" w:hanging="180"/>
      </w:pPr>
    </w:lvl>
    <w:lvl w:ilvl="6" w:tplc="4A38D2AA">
      <w:start w:val="1"/>
      <w:numFmt w:val="decimal"/>
      <w:lvlText w:val="%7."/>
      <w:lvlJc w:val="left"/>
      <w:pPr>
        <w:ind w:left="5040" w:hanging="360"/>
      </w:pPr>
    </w:lvl>
    <w:lvl w:ilvl="7" w:tplc="8492772A">
      <w:start w:val="1"/>
      <w:numFmt w:val="lowerLetter"/>
      <w:lvlText w:val="%8."/>
      <w:lvlJc w:val="left"/>
      <w:pPr>
        <w:ind w:left="5760" w:hanging="360"/>
      </w:pPr>
    </w:lvl>
    <w:lvl w:ilvl="8" w:tplc="F6BAF70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7C"/>
    <w:rsid w:val="0007176F"/>
    <w:rsid w:val="001A33C0"/>
    <w:rsid w:val="00312954"/>
    <w:rsid w:val="008976F6"/>
    <w:rsid w:val="00AC0C19"/>
    <w:rsid w:val="00AF6056"/>
    <w:rsid w:val="00E52CAC"/>
    <w:rsid w:val="00FF23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966DE-69C9-4943-99B8-54551D49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37C"/>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F237C"/>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FF237C"/>
    <w:pPr>
      <w:ind w:left="720"/>
      <w:contextualSpacing/>
    </w:pPr>
  </w:style>
  <w:style w:type="character" w:customStyle="1" w:styleId="EncabezadoCar">
    <w:name w:val="Encabezado Car"/>
    <w:basedOn w:val="Fuentedeprrafopredeter"/>
    <w:link w:val="Encabezado"/>
    <w:uiPriority w:val="99"/>
    <w:rsid w:val="00FF237C"/>
  </w:style>
  <w:style w:type="paragraph" w:styleId="Encabezado">
    <w:name w:val="header"/>
    <w:basedOn w:val="Normal"/>
    <w:link w:val="EncabezadoCar"/>
    <w:uiPriority w:val="99"/>
    <w:unhideWhenUsed/>
    <w:rsid w:val="00FF237C"/>
    <w:pPr>
      <w:tabs>
        <w:tab w:val="center" w:pos="4680"/>
        <w:tab w:val="right" w:pos="9360"/>
      </w:tabs>
      <w:spacing w:after="0" w:line="240" w:lineRule="auto"/>
    </w:pPr>
    <w:rPr>
      <w:rFonts w:asciiTheme="minorHAnsi" w:eastAsiaTheme="minorHAnsi" w:hAnsiTheme="minorHAnsi" w:cstheme="minorBidi"/>
      <w:lang w:val="es-CO"/>
    </w:rPr>
  </w:style>
  <w:style w:type="character" w:customStyle="1" w:styleId="EncabezadoCar1">
    <w:name w:val="Encabezado Car1"/>
    <w:basedOn w:val="Fuentedeprrafopredeter"/>
    <w:uiPriority w:val="99"/>
    <w:semiHidden/>
    <w:rsid w:val="00FF237C"/>
    <w:rPr>
      <w:rFonts w:ascii="Calibri" w:eastAsia="Calibri" w:hAnsi="Calibri" w:cs="Times New Roman"/>
      <w:lang w:val="es-ES"/>
    </w:rPr>
  </w:style>
  <w:style w:type="character" w:customStyle="1" w:styleId="PiedepginaCar">
    <w:name w:val="Pie de página Car"/>
    <w:basedOn w:val="Fuentedeprrafopredeter"/>
    <w:link w:val="Piedepgina"/>
    <w:uiPriority w:val="99"/>
    <w:rsid w:val="00FF237C"/>
  </w:style>
  <w:style w:type="paragraph" w:styleId="Piedepgina">
    <w:name w:val="footer"/>
    <w:basedOn w:val="Normal"/>
    <w:link w:val="PiedepginaCar"/>
    <w:uiPriority w:val="99"/>
    <w:unhideWhenUsed/>
    <w:rsid w:val="00FF237C"/>
    <w:pPr>
      <w:tabs>
        <w:tab w:val="center" w:pos="4680"/>
        <w:tab w:val="right" w:pos="9360"/>
      </w:tabs>
      <w:spacing w:after="0" w:line="240" w:lineRule="auto"/>
    </w:pPr>
    <w:rPr>
      <w:rFonts w:asciiTheme="minorHAnsi" w:eastAsiaTheme="minorHAnsi" w:hAnsiTheme="minorHAnsi" w:cstheme="minorBidi"/>
      <w:lang w:val="es-CO"/>
    </w:rPr>
  </w:style>
  <w:style w:type="character" w:customStyle="1" w:styleId="PiedepginaCar1">
    <w:name w:val="Pie de página Car1"/>
    <w:basedOn w:val="Fuentedeprrafopredeter"/>
    <w:uiPriority w:val="99"/>
    <w:semiHidden/>
    <w:rsid w:val="00FF237C"/>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269</Words>
  <Characters>1483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GIL MONICA</dc:creator>
  <cp:keywords/>
  <dc:description/>
  <cp:lastModifiedBy>LEON GIL MONICA</cp:lastModifiedBy>
  <cp:revision>26</cp:revision>
  <dcterms:created xsi:type="dcterms:W3CDTF">2017-03-07T13:59:00Z</dcterms:created>
  <dcterms:modified xsi:type="dcterms:W3CDTF">2017-03-07T14:51:00Z</dcterms:modified>
</cp:coreProperties>
</file>