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345"/>
      </w:tblGrid>
      <w:tr w:rsidR="00E55CB2" w:rsidRPr="00B05C1A" w:rsidTr="00513F52">
        <w:tc>
          <w:tcPr>
            <w:tcW w:w="2370" w:type="dxa"/>
          </w:tcPr>
          <w:p w:rsidR="00E55CB2" w:rsidRPr="00B05C1A" w:rsidRDefault="00E55CB2" w:rsidP="00513F52">
            <w:pPr>
              <w:spacing w:after="0" w:line="240" w:lineRule="auto"/>
              <w:jc w:val="both"/>
              <w:rPr>
                <w:rFonts w:ascii="Arial" w:eastAsia="Calibri" w:hAnsi="Arial" w:cs="Arial"/>
                <w:sz w:val="24"/>
                <w:szCs w:val="24"/>
              </w:rPr>
            </w:pPr>
            <w:bookmarkStart w:id="0" w:name="_Hlk461117"/>
            <w:r w:rsidRPr="00B05C1A">
              <w:rPr>
                <w:rFonts w:ascii="Arial" w:eastAsia="Arial" w:hAnsi="Arial" w:cs="Arial"/>
                <w:sz w:val="24"/>
                <w:szCs w:val="24"/>
              </w:rPr>
              <w:t>Número de expediente</w:t>
            </w:r>
          </w:p>
        </w:tc>
        <w:tc>
          <w:tcPr>
            <w:tcW w:w="6240" w:type="dxa"/>
          </w:tcPr>
          <w:p w:rsidR="00E55CB2" w:rsidRPr="00B05C1A" w:rsidRDefault="00E55CB2" w:rsidP="00513F52">
            <w:pPr>
              <w:spacing w:after="0" w:line="240" w:lineRule="auto"/>
              <w:jc w:val="both"/>
              <w:rPr>
                <w:rFonts w:ascii="Arial" w:eastAsia="Calibri" w:hAnsi="Arial" w:cs="Arial"/>
                <w:sz w:val="24"/>
                <w:szCs w:val="24"/>
              </w:rPr>
            </w:pPr>
            <w:r w:rsidRPr="00B05C1A">
              <w:rPr>
                <w:rFonts w:ascii="Arial" w:eastAsia="Arial" w:hAnsi="Arial" w:cs="Arial"/>
                <w:sz w:val="24"/>
                <w:szCs w:val="24"/>
              </w:rPr>
              <w:t>D-1</w:t>
            </w:r>
            <w:r>
              <w:rPr>
                <w:rFonts w:ascii="Arial" w:eastAsia="Arial" w:hAnsi="Arial" w:cs="Arial"/>
                <w:sz w:val="24"/>
                <w:szCs w:val="24"/>
              </w:rPr>
              <w:t>0471</w:t>
            </w:r>
          </w:p>
        </w:tc>
      </w:tr>
      <w:tr w:rsidR="00E55CB2" w:rsidRPr="00B05C1A" w:rsidTr="00513F52">
        <w:tc>
          <w:tcPr>
            <w:tcW w:w="2370" w:type="dxa"/>
          </w:tcPr>
          <w:p w:rsidR="00E55CB2" w:rsidRPr="00B05C1A" w:rsidRDefault="00E55CB2" w:rsidP="00513F52">
            <w:pPr>
              <w:spacing w:after="0" w:line="240" w:lineRule="auto"/>
              <w:jc w:val="both"/>
              <w:rPr>
                <w:rFonts w:ascii="Arial" w:eastAsia="Calibri" w:hAnsi="Arial" w:cs="Arial"/>
                <w:sz w:val="24"/>
                <w:szCs w:val="24"/>
              </w:rPr>
            </w:pPr>
            <w:r w:rsidRPr="00B05C1A">
              <w:rPr>
                <w:rFonts w:ascii="Arial" w:eastAsia="Arial" w:hAnsi="Arial" w:cs="Arial"/>
                <w:sz w:val="24"/>
                <w:szCs w:val="24"/>
              </w:rPr>
              <w:t>Magistrado Ponente</w:t>
            </w:r>
          </w:p>
        </w:tc>
        <w:tc>
          <w:tcPr>
            <w:tcW w:w="6240" w:type="dxa"/>
          </w:tcPr>
          <w:p w:rsidR="00E55CB2" w:rsidRPr="00B05C1A" w:rsidRDefault="003E7111" w:rsidP="00513F52">
            <w:pPr>
              <w:spacing w:after="0" w:line="240" w:lineRule="auto"/>
              <w:jc w:val="both"/>
              <w:rPr>
                <w:rFonts w:ascii="Arial" w:eastAsia="Calibri" w:hAnsi="Arial" w:cs="Arial"/>
                <w:sz w:val="24"/>
                <w:szCs w:val="24"/>
              </w:rPr>
            </w:pPr>
            <w:r>
              <w:rPr>
                <w:rFonts w:ascii="Arial" w:eastAsia="Calibri" w:hAnsi="Arial" w:cs="Arial"/>
                <w:sz w:val="24"/>
                <w:szCs w:val="24"/>
              </w:rPr>
              <w:t>Luis Guillermo Guerrero Pérez</w:t>
            </w:r>
          </w:p>
        </w:tc>
      </w:tr>
      <w:tr w:rsidR="00E55CB2" w:rsidRPr="00B05C1A" w:rsidTr="00513F52">
        <w:tc>
          <w:tcPr>
            <w:tcW w:w="2370" w:type="dxa"/>
          </w:tcPr>
          <w:p w:rsidR="00E55CB2" w:rsidRPr="00B05C1A" w:rsidRDefault="00E55CB2" w:rsidP="00513F52">
            <w:pPr>
              <w:spacing w:after="0" w:line="240" w:lineRule="auto"/>
              <w:jc w:val="both"/>
              <w:rPr>
                <w:rFonts w:ascii="Arial" w:eastAsia="Calibri" w:hAnsi="Arial" w:cs="Arial"/>
                <w:sz w:val="24"/>
                <w:szCs w:val="24"/>
              </w:rPr>
            </w:pPr>
            <w:r w:rsidRPr="00B05C1A">
              <w:rPr>
                <w:rFonts w:ascii="Arial" w:eastAsia="Arial" w:hAnsi="Arial" w:cs="Arial"/>
                <w:sz w:val="24"/>
                <w:szCs w:val="24"/>
              </w:rPr>
              <w:t>Fecha</w:t>
            </w:r>
          </w:p>
        </w:tc>
        <w:tc>
          <w:tcPr>
            <w:tcW w:w="6240" w:type="dxa"/>
          </w:tcPr>
          <w:p w:rsidR="00E55CB2" w:rsidRPr="00B05C1A" w:rsidRDefault="00E55CB2" w:rsidP="00513F52">
            <w:pPr>
              <w:spacing w:after="0" w:line="240" w:lineRule="auto"/>
              <w:jc w:val="both"/>
              <w:rPr>
                <w:rFonts w:ascii="Arial" w:eastAsia="Calibri" w:hAnsi="Arial" w:cs="Arial"/>
                <w:sz w:val="24"/>
                <w:szCs w:val="24"/>
              </w:rPr>
            </w:pPr>
            <w:r>
              <w:rPr>
                <w:rFonts w:ascii="Arial" w:eastAsia="Calibri" w:hAnsi="Arial" w:cs="Arial"/>
                <w:sz w:val="24"/>
                <w:szCs w:val="24"/>
              </w:rPr>
              <w:t>17 de septiembre de 2014</w:t>
            </w:r>
          </w:p>
        </w:tc>
      </w:tr>
      <w:tr w:rsidR="00E55CB2" w:rsidRPr="00B05C1A" w:rsidTr="00513F52">
        <w:tc>
          <w:tcPr>
            <w:tcW w:w="2370" w:type="dxa"/>
          </w:tcPr>
          <w:p w:rsidR="00E55CB2" w:rsidRPr="00B05C1A" w:rsidRDefault="00E55CB2" w:rsidP="00513F52">
            <w:pPr>
              <w:spacing w:after="0" w:line="240" w:lineRule="auto"/>
              <w:jc w:val="both"/>
              <w:rPr>
                <w:rFonts w:ascii="Arial" w:eastAsia="Calibri" w:hAnsi="Arial" w:cs="Arial"/>
                <w:sz w:val="24"/>
                <w:szCs w:val="24"/>
              </w:rPr>
            </w:pPr>
            <w:r w:rsidRPr="00B05C1A">
              <w:rPr>
                <w:rFonts w:ascii="Arial" w:eastAsia="Arial" w:hAnsi="Arial" w:cs="Arial"/>
                <w:sz w:val="24"/>
                <w:szCs w:val="24"/>
              </w:rPr>
              <w:t>Tema</w:t>
            </w:r>
          </w:p>
        </w:tc>
        <w:tc>
          <w:tcPr>
            <w:tcW w:w="6240" w:type="dxa"/>
          </w:tcPr>
          <w:p w:rsidR="00E55CB2" w:rsidRPr="00B05C1A" w:rsidRDefault="003E7111" w:rsidP="00513F52">
            <w:pPr>
              <w:spacing w:after="0" w:line="240" w:lineRule="auto"/>
              <w:jc w:val="both"/>
              <w:rPr>
                <w:rFonts w:ascii="Arial" w:eastAsia="Calibri" w:hAnsi="Arial" w:cs="Arial"/>
                <w:sz w:val="24"/>
                <w:szCs w:val="24"/>
              </w:rPr>
            </w:pPr>
            <w:r>
              <w:rPr>
                <w:rFonts w:ascii="Arial" w:eastAsia="Calibri" w:hAnsi="Arial" w:cs="Arial"/>
                <w:sz w:val="24"/>
                <w:szCs w:val="24"/>
              </w:rPr>
              <w:t>Ejercicio del derecho de postulación en procesos de mínima, menor y mayor cuantía</w:t>
            </w:r>
          </w:p>
        </w:tc>
      </w:tr>
      <w:tr w:rsidR="00E55CB2" w:rsidRPr="00B05C1A" w:rsidTr="00513F52">
        <w:tc>
          <w:tcPr>
            <w:tcW w:w="2370" w:type="dxa"/>
          </w:tcPr>
          <w:p w:rsidR="00E55CB2" w:rsidRPr="00B05C1A" w:rsidRDefault="00E55CB2" w:rsidP="00513F52">
            <w:pPr>
              <w:spacing w:after="0" w:line="240" w:lineRule="auto"/>
              <w:jc w:val="both"/>
              <w:rPr>
                <w:rFonts w:ascii="Arial" w:eastAsia="Calibri" w:hAnsi="Arial" w:cs="Arial"/>
                <w:sz w:val="24"/>
                <w:szCs w:val="24"/>
              </w:rPr>
            </w:pPr>
            <w:r w:rsidRPr="00B05C1A">
              <w:rPr>
                <w:rFonts w:ascii="Arial" w:eastAsia="Arial" w:hAnsi="Arial" w:cs="Arial"/>
                <w:sz w:val="24"/>
                <w:szCs w:val="24"/>
              </w:rPr>
              <w:t>Norma demandada</w:t>
            </w:r>
          </w:p>
        </w:tc>
        <w:tc>
          <w:tcPr>
            <w:tcW w:w="6240" w:type="dxa"/>
          </w:tcPr>
          <w:p w:rsidR="005F1EBC" w:rsidRPr="00BC7AE6" w:rsidRDefault="005F1EBC" w:rsidP="005F1EBC">
            <w:pPr>
              <w:spacing w:after="200" w:line="276" w:lineRule="auto"/>
              <w:contextualSpacing/>
              <w:jc w:val="both"/>
              <w:rPr>
                <w:rFonts w:ascii="Arial" w:eastAsia="Calibri" w:hAnsi="Arial" w:cs="Arial"/>
                <w:bCs/>
                <w:i/>
                <w:sz w:val="24"/>
                <w:szCs w:val="24"/>
              </w:rPr>
            </w:pPr>
            <w:bookmarkStart w:id="1" w:name="73"/>
            <w:bookmarkStart w:id="2" w:name="20"/>
            <w:bookmarkStart w:id="3" w:name="17"/>
            <w:r w:rsidRPr="005F1EBC">
              <w:rPr>
                <w:rFonts w:ascii="Arial" w:eastAsia="Calibri" w:hAnsi="Arial" w:cs="Arial"/>
                <w:b/>
                <w:bCs/>
                <w:sz w:val="24"/>
                <w:szCs w:val="24"/>
              </w:rPr>
              <w:t>Artículo 17. Competencia de los jueces civiles municipales en única instancia.</w:t>
            </w:r>
            <w:bookmarkEnd w:id="3"/>
            <w:r w:rsidRPr="005F1EBC">
              <w:rPr>
                <w:rFonts w:ascii="Arial" w:eastAsia="Calibri" w:hAnsi="Arial" w:cs="Arial"/>
                <w:b/>
                <w:bCs/>
                <w:sz w:val="24"/>
                <w:szCs w:val="24"/>
              </w:rPr>
              <w:t> </w:t>
            </w:r>
            <w:r w:rsidR="00B802F9" w:rsidRPr="00B802F9">
              <w:rPr>
                <w:rFonts w:ascii="Arial" w:eastAsia="Calibri" w:hAnsi="Arial" w:cs="Arial"/>
                <w:bCs/>
                <w:sz w:val="24"/>
                <w:szCs w:val="24"/>
              </w:rPr>
              <w:t>‘</w:t>
            </w:r>
            <w:r w:rsidR="00B802F9">
              <w:rPr>
                <w:rFonts w:ascii="Arial" w:eastAsia="Calibri" w:hAnsi="Arial" w:cs="Arial"/>
                <w:bCs/>
                <w:sz w:val="24"/>
                <w:szCs w:val="24"/>
              </w:rPr>
              <w:t>‘</w:t>
            </w:r>
            <w:r w:rsidRPr="00BC7AE6">
              <w:rPr>
                <w:rFonts w:ascii="Arial" w:eastAsia="Calibri" w:hAnsi="Arial" w:cs="Arial"/>
                <w:bCs/>
                <w:i/>
                <w:sz w:val="24"/>
                <w:szCs w:val="24"/>
              </w:rPr>
              <w:t>Los jueces civiles municipales conocen en única instancia:</w:t>
            </w:r>
          </w:p>
          <w:p w:rsidR="005F1EBC" w:rsidRPr="00BC7AE6" w:rsidRDefault="005F1EBC" w:rsidP="005F1EBC">
            <w:pPr>
              <w:spacing w:after="200" w:line="276" w:lineRule="auto"/>
              <w:contextualSpacing/>
              <w:jc w:val="both"/>
              <w:rPr>
                <w:rFonts w:ascii="Arial" w:eastAsia="Calibri" w:hAnsi="Arial" w:cs="Arial"/>
                <w:bCs/>
                <w:i/>
                <w:sz w:val="24"/>
                <w:szCs w:val="24"/>
              </w:rPr>
            </w:pPr>
            <w:r w:rsidRPr="00BC7AE6">
              <w:rPr>
                <w:rFonts w:ascii="Arial" w:eastAsia="Calibri" w:hAnsi="Arial" w:cs="Arial"/>
                <w:bCs/>
                <w:i/>
                <w:sz w:val="24"/>
                <w:szCs w:val="24"/>
              </w:rPr>
              <w:t xml:space="preserve">1. De los procesos contenciosos de mínima cuantía, incluso los originados en relaciones de naturaleza agraria, salvo los que correspondan a la jurisdicción </w:t>
            </w:r>
            <w:proofErr w:type="gramStart"/>
            <w:r w:rsidRPr="00BC7AE6">
              <w:rPr>
                <w:rFonts w:ascii="Arial" w:eastAsia="Calibri" w:hAnsi="Arial" w:cs="Arial"/>
                <w:bCs/>
                <w:i/>
                <w:sz w:val="24"/>
                <w:szCs w:val="24"/>
              </w:rPr>
              <w:t>contencioso administrativa</w:t>
            </w:r>
            <w:proofErr w:type="gramEnd"/>
            <w:r w:rsidRPr="00BC7AE6">
              <w:rPr>
                <w:rFonts w:ascii="Arial" w:eastAsia="Calibri" w:hAnsi="Arial" w:cs="Arial"/>
                <w:bCs/>
                <w:i/>
                <w:sz w:val="24"/>
                <w:szCs w:val="24"/>
              </w:rPr>
              <w:t>.</w:t>
            </w:r>
          </w:p>
          <w:p w:rsidR="00DD10E5" w:rsidRPr="00BC7AE6" w:rsidRDefault="00DD10E5" w:rsidP="005F1EBC">
            <w:pPr>
              <w:spacing w:after="200" w:line="276" w:lineRule="auto"/>
              <w:contextualSpacing/>
              <w:jc w:val="both"/>
              <w:rPr>
                <w:rFonts w:ascii="Arial" w:eastAsia="Calibri" w:hAnsi="Arial" w:cs="Arial"/>
                <w:bCs/>
                <w:i/>
                <w:sz w:val="24"/>
                <w:szCs w:val="24"/>
              </w:rPr>
            </w:pPr>
          </w:p>
          <w:p w:rsidR="005F1EBC" w:rsidRPr="00BC7AE6" w:rsidRDefault="00DD10E5" w:rsidP="00BF4DF2">
            <w:pPr>
              <w:spacing w:after="200" w:line="276" w:lineRule="auto"/>
              <w:contextualSpacing/>
              <w:jc w:val="both"/>
              <w:rPr>
                <w:rFonts w:ascii="Arial" w:eastAsia="Calibri" w:hAnsi="Arial" w:cs="Arial"/>
                <w:bCs/>
                <w:i/>
                <w:sz w:val="24"/>
                <w:szCs w:val="24"/>
              </w:rPr>
            </w:pPr>
            <w:r w:rsidRPr="00BC7AE6">
              <w:rPr>
                <w:rFonts w:ascii="Arial" w:eastAsia="Calibri" w:hAnsi="Arial" w:cs="Arial"/>
                <w:bCs/>
                <w:i/>
                <w:sz w:val="24"/>
                <w:szCs w:val="24"/>
              </w:rPr>
              <w:t xml:space="preserve">También conocerán de los procesos contenciosos de mínima cuantía por responsabilidad médica, de cualquier naturaleza y origen, sin consideración a las partes, salvo los que correspondan a la jurisdicción </w:t>
            </w:r>
            <w:proofErr w:type="gramStart"/>
            <w:r w:rsidRPr="00BC7AE6">
              <w:rPr>
                <w:rFonts w:ascii="Arial" w:eastAsia="Calibri" w:hAnsi="Arial" w:cs="Arial"/>
                <w:bCs/>
                <w:i/>
                <w:sz w:val="24"/>
                <w:szCs w:val="24"/>
              </w:rPr>
              <w:t>contencioso administrativa</w:t>
            </w:r>
            <w:proofErr w:type="gramEnd"/>
            <w:r w:rsidRPr="00BC7AE6">
              <w:rPr>
                <w:rFonts w:ascii="Arial" w:eastAsia="Calibri" w:hAnsi="Arial" w:cs="Arial"/>
                <w:bCs/>
                <w:i/>
                <w:sz w:val="24"/>
                <w:szCs w:val="24"/>
              </w:rPr>
              <w:t>.</w:t>
            </w:r>
          </w:p>
          <w:p w:rsidR="005F1EBC" w:rsidRPr="00BC7AE6" w:rsidRDefault="005F1EBC" w:rsidP="00BF4DF2">
            <w:pPr>
              <w:spacing w:after="200" w:line="276" w:lineRule="auto"/>
              <w:contextualSpacing/>
              <w:jc w:val="both"/>
              <w:rPr>
                <w:rFonts w:ascii="Arial" w:eastAsia="Calibri" w:hAnsi="Arial" w:cs="Arial"/>
                <w:b/>
                <w:bCs/>
                <w:i/>
                <w:sz w:val="24"/>
                <w:szCs w:val="24"/>
              </w:rPr>
            </w:pPr>
          </w:p>
          <w:p w:rsidR="005F1EBC" w:rsidRPr="00BC7AE6" w:rsidRDefault="00DA487F" w:rsidP="00BF4DF2">
            <w:pPr>
              <w:spacing w:after="200" w:line="276" w:lineRule="auto"/>
              <w:contextualSpacing/>
              <w:jc w:val="both"/>
              <w:rPr>
                <w:rFonts w:ascii="Arial" w:eastAsia="Calibri" w:hAnsi="Arial" w:cs="Arial"/>
                <w:bCs/>
                <w:i/>
                <w:sz w:val="24"/>
                <w:szCs w:val="24"/>
              </w:rPr>
            </w:pPr>
            <w:r w:rsidRPr="00BC7AE6">
              <w:rPr>
                <w:rFonts w:ascii="Arial" w:eastAsia="Calibri" w:hAnsi="Arial" w:cs="Arial"/>
                <w:bCs/>
                <w:i/>
                <w:sz w:val="24"/>
                <w:szCs w:val="24"/>
              </w:rPr>
              <w:t>2. De los procesos de sucesión de mínima cuantía, sin perjuicio de la competencia atribuida por la ley a los notarios.</w:t>
            </w:r>
          </w:p>
          <w:p w:rsidR="00DA487F" w:rsidRDefault="00DA487F" w:rsidP="00BF4DF2">
            <w:pPr>
              <w:spacing w:after="200" w:line="276" w:lineRule="auto"/>
              <w:contextualSpacing/>
              <w:jc w:val="both"/>
              <w:rPr>
                <w:rFonts w:ascii="Arial" w:eastAsia="Calibri" w:hAnsi="Arial" w:cs="Arial"/>
                <w:bCs/>
                <w:sz w:val="24"/>
                <w:szCs w:val="24"/>
              </w:rPr>
            </w:pPr>
          </w:p>
          <w:p w:rsidR="00DA487F" w:rsidRDefault="004C49AE" w:rsidP="00BF4DF2">
            <w:pPr>
              <w:spacing w:after="200" w:line="276" w:lineRule="auto"/>
              <w:contextualSpacing/>
              <w:jc w:val="both"/>
              <w:rPr>
                <w:rFonts w:ascii="Arial" w:eastAsia="Calibri" w:hAnsi="Arial" w:cs="Arial"/>
                <w:bCs/>
                <w:sz w:val="24"/>
                <w:szCs w:val="24"/>
              </w:rPr>
            </w:pPr>
            <w:r>
              <w:rPr>
                <w:rFonts w:ascii="Arial" w:eastAsia="Calibri" w:hAnsi="Arial" w:cs="Arial"/>
                <w:bCs/>
                <w:sz w:val="24"/>
                <w:szCs w:val="24"/>
              </w:rPr>
              <w:t>(…)</w:t>
            </w:r>
          </w:p>
          <w:p w:rsidR="004C49AE" w:rsidRPr="00BC7AE6" w:rsidRDefault="004C49AE" w:rsidP="00BF4DF2">
            <w:pPr>
              <w:spacing w:after="200" w:line="276" w:lineRule="auto"/>
              <w:contextualSpacing/>
              <w:jc w:val="both"/>
              <w:rPr>
                <w:rFonts w:ascii="Arial" w:eastAsia="Calibri" w:hAnsi="Arial" w:cs="Arial"/>
                <w:bCs/>
                <w:i/>
                <w:sz w:val="24"/>
                <w:szCs w:val="24"/>
              </w:rPr>
            </w:pPr>
          </w:p>
          <w:p w:rsidR="004C49AE" w:rsidRPr="00BC7AE6" w:rsidRDefault="004C49AE" w:rsidP="00BF4DF2">
            <w:pPr>
              <w:spacing w:after="200" w:line="276" w:lineRule="auto"/>
              <w:contextualSpacing/>
              <w:jc w:val="both"/>
              <w:rPr>
                <w:rFonts w:ascii="Arial" w:eastAsia="Calibri" w:hAnsi="Arial" w:cs="Arial"/>
                <w:bCs/>
                <w:i/>
                <w:sz w:val="24"/>
                <w:szCs w:val="24"/>
              </w:rPr>
            </w:pPr>
            <w:r w:rsidRPr="00BC7AE6">
              <w:rPr>
                <w:rFonts w:ascii="Arial" w:eastAsia="Calibri" w:hAnsi="Arial" w:cs="Arial"/>
                <w:bCs/>
                <w:i/>
                <w:sz w:val="24"/>
                <w:szCs w:val="24"/>
              </w:rPr>
              <w:t>6. De los asuntos atribuidos al juez de familia en única instancia, cuando en el municipio no haya juez de familia o promiscuo de familia.</w:t>
            </w:r>
          </w:p>
          <w:p w:rsidR="004C49AE" w:rsidRDefault="004C49AE" w:rsidP="00BF4DF2">
            <w:pPr>
              <w:spacing w:after="200" w:line="276" w:lineRule="auto"/>
              <w:contextualSpacing/>
              <w:jc w:val="both"/>
              <w:rPr>
                <w:rFonts w:ascii="Arial" w:eastAsia="Calibri" w:hAnsi="Arial" w:cs="Arial"/>
                <w:bCs/>
                <w:sz w:val="24"/>
                <w:szCs w:val="24"/>
              </w:rPr>
            </w:pPr>
          </w:p>
          <w:p w:rsidR="004C49AE" w:rsidRDefault="004C49AE" w:rsidP="00BF4DF2">
            <w:pPr>
              <w:spacing w:after="200" w:line="276" w:lineRule="auto"/>
              <w:contextualSpacing/>
              <w:jc w:val="both"/>
              <w:rPr>
                <w:rFonts w:ascii="Arial" w:eastAsia="Calibri" w:hAnsi="Arial" w:cs="Arial"/>
                <w:bCs/>
                <w:sz w:val="24"/>
                <w:szCs w:val="24"/>
              </w:rPr>
            </w:pPr>
            <w:r>
              <w:rPr>
                <w:rFonts w:ascii="Arial" w:eastAsia="Calibri" w:hAnsi="Arial" w:cs="Arial"/>
                <w:bCs/>
                <w:sz w:val="24"/>
                <w:szCs w:val="24"/>
              </w:rPr>
              <w:t>(…)</w:t>
            </w:r>
          </w:p>
          <w:p w:rsidR="004C49AE" w:rsidRDefault="004C49AE" w:rsidP="00BF4DF2">
            <w:pPr>
              <w:spacing w:after="200" w:line="276" w:lineRule="auto"/>
              <w:contextualSpacing/>
              <w:jc w:val="both"/>
              <w:rPr>
                <w:rFonts w:ascii="Arial" w:eastAsia="Calibri" w:hAnsi="Arial" w:cs="Arial"/>
                <w:bCs/>
                <w:sz w:val="24"/>
                <w:szCs w:val="24"/>
              </w:rPr>
            </w:pPr>
          </w:p>
          <w:p w:rsidR="004C49AE" w:rsidRDefault="004C49AE" w:rsidP="00BF4DF2">
            <w:pPr>
              <w:spacing w:after="200" w:line="276" w:lineRule="auto"/>
              <w:contextualSpacing/>
              <w:jc w:val="both"/>
              <w:rPr>
                <w:rFonts w:ascii="Arial" w:eastAsia="Calibri" w:hAnsi="Arial" w:cs="Arial"/>
                <w:bCs/>
                <w:i/>
                <w:sz w:val="24"/>
                <w:szCs w:val="24"/>
              </w:rPr>
            </w:pPr>
            <w:r w:rsidRPr="00BC7AE6">
              <w:rPr>
                <w:rFonts w:ascii="Arial" w:eastAsia="Calibri" w:hAnsi="Arial" w:cs="Arial"/>
                <w:bCs/>
                <w:i/>
                <w:sz w:val="24"/>
                <w:szCs w:val="24"/>
              </w:rPr>
              <w:t>Parágrafo. Cuando en el lugar exista juez municipal de pequeñas causas y competencia múltiple, corresponderán a este los asuntos consagrados en los numerales 1, 2 y 3.</w:t>
            </w:r>
            <w:r w:rsidR="00B802F9" w:rsidRPr="00BC7AE6">
              <w:rPr>
                <w:rFonts w:ascii="Arial" w:eastAsia="Calibri" w:hAnsi="Arial" w:cs="Arial"/>
                <w:bCs/>
                <w:i/>
                <w:sz w:val="24"/>
                <w:szCs w:val="24"/>
              </w:rPr>
              <w:t>’’</w:t>
            </w:r>
          </w:p>
          <w:p w:rsidR="00580DA5" w:rsidRDefault="00580DA5" w:rsidP="00BF4DF2">
            <w:pPr>
              <w:spacing w:after="200" w:line="276" w:lineRule="auto"/>
              <w:contextualSpacing/>
              <w:jc w:val="both"/>
              <w:rPr>
                <w:rFonts w:ascii="Arial" w:eastAsia="Calibri" w:hAnsi="Arial" w:cs="Arial"/>
                <w:bCs/>
                <w:i/>
                <w:sz w:val="24"/>
                <w:szCs w:val="24"/>
              </w:rPr>
            </w:pPr>
          </w:p>
          <w:p w:rsidR="00580DA5" w:rsidRPr="00E7737C" w:rsidRDefault="00580DA5" w:rsidP="00580DA5">
            <w:pPr>
              <w:spacing w:after="200" w:line="276" w:lineRule="auto"/>
              <w:contextualSpacing/>
              <w:jc w:val="both"/>
              <w:rPr>
                <w:rFonts w:ascii="Arial" w:eastAsia="Calibri" w:hAnsi="Arial" w:cs="Arial"/>
                <w:bCs/>
                <w:i/>
                <w:sz w:val="24"/>
                <w:szCs w:val="24"/>
              </w:rPr>
            </w:pPr>
            <w:bookmarkStart w:id="4" w:name="18"/>
            <w:r w:rsidRPr="00580DA5">
              <w:rPr>
                <w:rFonts w:ascii="Arial" w:eastAsia="Calibri" w:hAnsi="Arial" w:cs="Arial"/>
                <w:b/>
                <w:bCs/>
                <w:sz w:val="24"/>
                <w:szCs w:val="24"/>
              </w:rPr>
              <w:t>Artículo 18. Competencia de los jueces civiles municipales en primera instancia.</w:t>
            </w:r>
            <w:bookmarkEnd w:id="4"/>
            <w:r w:rsidRPr="00580DA5">
              <w:rPr>
                <w:rFonts w:ascii="Arial" w:eastAsia="Calibri" w:hAnsi="Arial" w:cs="Arial"/>
                <w:bCs/>
                <w:sz w:val="24"/>
                <w:szCs w:val="24"/>
              </w:rPr>
              <w:t> </w:t>
            </w:r>
            <w:r w:rsidR="00E7737C">
              <w:rPr>
                <w:rFonts w:ascii="Arial" w:eastAsia="Calibri" w:hAnsi="Arial" w:cs="Arial"/>
                <w:bCs/>
                <w:sz w:val="24"/>
                <w:szCs w:val="24"/>
              </w:rPr>
              <w:t>‘‘</w:t>
            </w:r>
            <w:r w:rsidRPr="00E7737C">
              <w:rPr>
                <w:rFonts w:ascii="Arial" w:eastAsia="Calibri" w:hAnsi="Arial" w:cs="Arial"/>
                <w:bCs/>
                <w:i/>
                <w:sz w:val="24"/>
                <w:szCs w:val="24"/>
              </w:rPr>
              <w:t>Los jueces civiles municipales conocen en primera instancia:</w:t>
            </w:r>
          </w:p>
          <w:p w:rsidR="00580DA5" w:rsidRPr="00E7737C" w:rsidRDefault="00580DA5" w:rsidP="00580DA5">
            <w:pPr>
              <w:spacing w:after="200" w:line="276" w:lineRule="auto"/>
              <w:contextualSpacing/>
              <w:jc w:val="both"/>
              <w:rPr>
                <w:rFonts w:ascii="Arial" w:eastAsia="Calibri" w:hAnsi="Arial" w:cs="Arial"/>
                <w:bCs/>
                <w:i/>
                <w:sz w:val="24"/>
                <w:szCs w:val="24"/>
              </w:rPr>
            </w:pPr>
            <w:r w:rsidRPr="00E7737C">
              <w:rPr>
                <w:rFonts w:ascii="Arial" w:eastAsia="Calibri" w:hAnsi="Arial" w:cs="Arial"/>
                <w:bCs/>
                <w:i/>
                <w:sz w:val="24"/>
                <w:szCs w:val="24"/>
              </w:rPr>
              <w:lastRenderedPageBreak/>
              <w:t xml:space="preserve">1. De los procesos contenciosos de menor cuantía, incluso los originados en relaciones de naturaleza agraria, salvo los que correspondan a la jurisdicción </w:t>
            </w:r>
            <w:proofErr w:type="gramStart"/>
            <w:r w:rsidRPr="00E7737C">
              <w:rPr>
                <w:rFonts w:ascii="Arial" w:eastAsia="Calibri" w:hAnsi="Arial" w:cs="Arial"/>
                <w:bCs/>
                <w:i/>
                <w:sz w:val="24"/>
                <w:szCs w:val="24"/>
              </w:rPr>
              <w:t>contencioso administrativa</w:t>
            </w:r>
            <w:proofErr w:type="gramEnd"/>
            <w:r w:rsidRPr="00E7737C">
              <w:rPr>
                <w:rFonts w:ascii="Arial" w:eastAsia="Calibri" w:hAnsi="Arial" w:cs="Arial"/>
                <w:bCs/>
                <w:i/>
                <w:sz w:val="24"/>
                <w:szCs w:val="24"/>
              </w:rPr>
              <w:t>.</w:t>
            </w:r>
          </w:p>
          <w:p w:rsidR="00580DA5" w:rsidRPr="00E7737C" w:rsidRDefault="00580DA5" w:rsidP="00580DA5">
            <w:pPr>
              <w:spacing w:after="200" w:line="276" w:lineRule="auto"/>
              <w:contextualSpacing/>
              <w:jc w:val="both"/>
              <w:rPr>
                <w:rFonts w:ascii="Arial" w:eastAsia="Calibri" w:hAnsi="Arial" w:cs="Arial"/>
                <w:bCs/>
                <w:i/>
                <w:sz w:val="24"/>
                <w:szCs w:val="24"/>
              </w:rPr>
            </w:pPr>
          </w:p>
          <w:p w:rsidR="00580DA5" w:rsidRPr="00E7737C" w:rsidRDefault="00580DA5" w:rsidP="00580DA5">
            <w:pPr>
              <w:spacing w:after="200" w:line="276" w:lineRule="auto"/>
              <w:contextualSpacing/>
              <w:jc w:val="both"/>
              <w:rPr>
                <w:rFonts w:ascii="Arial" w:eastAsia="Calibri" w:hAnsi="Arial" w:cs="Arial"/>
                <w:bCs/>
                <w:i/>
                <w:sz w:val="24"/>
                <w:szCs w:val="24"/>
              </w:rPr>
            </w:pPr>
            <w:r w:rsidRPr="00E7737C">
              <w:rPr>
                <w:rFonts w:ascii="Arial" w:eastAsia="Calibri" w:hAnsi="Arial" w:cs="Arial"/>
                <w:bCs/>
                <w:i/>
                <w:sz w:val="24"/>
                <w:szCs w:val="24"/>
              </w:rPr>
              <w:t xml:space="preserve">También conocerán de los procesos contenciosos de menor cuantía por responsabilidad médica, de cualquier naturaleza y origen, sin consideración a las partes, salvo los que correspondan a la jurisdicción </w:t>
            </w:r>
            <w:proofErr w:type="gramStart"/>
            <w:r w:rsidRPr="00E7737C">
              <w:rPr>
                <w:rFonts w:ascii="Arial" w:eastAsia="Calibri" w:hAnsi="Arial" w:cs="Arial"/>
                <w:bCs/>
                <w:i/>
                <w:sz w:val="24"/>
                <w:szCs w:val="24"/>
              </w:rPr>
              <w:t>contencioso administrativa</w:t>
            </w:r>
            <w:proofErr w:type="gramEnd"/>
            <w:r w:rsidRPr="00E7737C">
              <w:rPr>
                <w:rFonts w:ascii="Arial" w:eastAsia="Calibri" w:hAnsi="Arial" w:cs="Arial"/>
                <w:bCs/>
                <w:i/>
                <w:sz w:val="24"/>
                <w:szCs w:val="24"/>
              </w:rPr>
              <w:t>.</w:t>
            </w:r>
          </w:p>
          <w:p w:rsidR="00580DA5" w:rsidRPr="00E7737C" w:rsidRDefault="00580DA5" w:rsidP="00580DA5">
            <w:pPr>
              <w:spacing w:after="200" w:line="276" w:lineRule="auto"/>
              <w:contextualSpacing/>
              <w:jc w:val="both"/>
              <w:rPr>
                <w:rFonts w:ascii="Arial" w:eastAsia="Calibri" w:hAnsi="Arial" w:cs="Arial"/>
                <w:bCs/>
                <w:i/>
                <w:sz w:val="24"/>
                <w:szCs w:val="24"/>
              </w:rPr>
            </w:pPr>
          </w:p>
          <w:p w:rsidR="00580DA5" w:rsidRPr="00E7737C" w:rsidRDefault="00580DA5" w:rsidP="00580DA5">
            <w:pPr>
              <w:spacing w:after="200" w:line="276" w:lineRule="auto"/>
              <w:contextualSpacing/>
              <w:jc w:val="both"/>
              <w:rPr>
                <w:rFonts w:ascii="Arial" w:eastAsia="Calibri" w:hAnsi="Arial" w:cs="Arial"/>
                <w:bCs/>
                <w:i/>
                <w:sz w:val="24"/>
                <w:szCs w:val="24"/>
              </w:rPr>
            </w:pPr>
            <w:r w:rsidRPr="00E7737C">
              <w:rPr>
                <w:rFonts w:ascii="Arial" w:eastAsia="Calibri" w:hAnsi="Arial" w:cs="Arial"/>
                <w:bCs/>
                <w:i/>
                <w:sz w:val="24"/>
                <w:szCs w:val="24"/>
              </w:rPr>
              <w:t>2. De los posesorios especiales que regula el Código Civil.</w:t>
            </w:r>
          </w:p>
          <w:p w:rsidR="00E7737C" w:rsidRDefault="00E7737C" w:rsidP="00580DA5">
            <w:pPr>
              <w:spacing w:after="200" w:line="276" w:lineRule="auto"/>
              <w:contextualSpacing/>
              <w:jc w:val="both"/>
              <w:rPr>
                <w:rFonts w:ascii="Arial" w:eastAsia="Calibri" w:hAnsi="Arial" w:cs="Arial"/>
                <w:bCs/>
                <w:sz w:val="24"/>
                <w:szCs w:val="24"/>
              </w:rPr>
            </w:pPr>
          </w:p>
          <w:p w:rsidR="00E7737C" w:rsidRPr="00580DA5" w:rsidRDefault="00E7737C" w:rsidP="00580DA5">
            <w:pPr>
              <w:spacing w:after="200" w:line="276" w:lineRule="auto"/>
              <w:contextualSpacing/>
              <w:jc w:val="both"/>
              <w:rPr>
                <w:rFonts w:ascii="Arial" w:eastAsia="Calibri" w:hAnsi="Arial" w:cs="Arial"/>
                <w:bCs/>
                <w:sz w:val="24"/>
                <w:szCs w:val="24"/>
              </w:rPr>
            </w:pPr>
            <w:r>
              <w:rPr>
                <w:rFonts w:ascii="Arial" w:eastAsia="Calibri" w:hAnsi="Arial" w:cs="Arial"/>
                <w:bCs/>
                <w:sz w:val="24"/>
                <w:szCs w:val="24"/>
              </w:rPr>
              <w:t>(…)’’</w:t>
            </w:r>
          </w:p>
          <w:p w:rsidR="005F1EBC" w:rsidRDefault="005F1EBC" w:rsidP="00BF4DF2">
            <w:pPr>
              <w:spacing w:after="200" w:line="276" w:lineRule="auto"/>
              <w:contextualSpacing/>
              <w:jc w:val="both"/>
              <w:rPr>
                <w:rFonts w:ascii="Arial" w:eastAsia="Calibri" w:hAnsi="Arial" w:cs="Arial"/>
                <w:b/>
                <w:bCs/>
                <w:sz w:val="24"/>
                <w:szCs w:val="24"/>
              </w:rPr>
            </w:pPr>
          </w:p>
          <w:p w:rsidR="00BF4DF2" w:rsidRPr="00BF4DF2" w:rsidRDefault="00BF4DF2" w:rsidP="00BF4DF2">
            <w:pPr>
              <w:spacing w:after="200" w:line="276" w:lineRule="auto"/>
              <w:contextualSpacing/>
              <w:jc w:val="both"/>
              <w:rPr>
                <w:rFonts w:ascii="Arial" w:eastAsia="Calibri" w:hAnsi="Arial" w:cs="Arial"/>
                <w:bCs/>
                <w:i/>
                <w:sz w:val="24"/>
                <w:szCs w:val="24"/>
              </w:rPr>
            </w:pPr>
            <w:r w:rsidRPr="00BF4DF2">
              <w:rPr>
                <w:rFonts w:ascii="Arial" w:eastAsia="Calibri" w:hAnsi="Arial" w:cs="Arial"/>
                <w:b/>
                <w:bCs/>
                <w:sz w:val="24"/>
                <w:szCs w:val="24"/>
              </w:rPr>
              <w:t>Artículo 20. Competencia de los jueces civiles del circuito en primera instancia.</w:t>
            </w:r>
            <w:bookmarkEnd w:id="2"/>
            <w:r w:rsidRPr="00BF4DF2">
              <w:rPr>
                <w:rFonts w:ascii="Arial" w:eastAsia="Calibri" w:hAnsi="Arial" w:cs="Arial"/>
                <w:bCs/>
                <w:sz w:val="24"/>
                <w:szCs w:val="24"/>
              </w:rPr>
              <w:t> </w:t>
            </w:r>
            <w:r>
              <w:rPr>
                <w:rFonts w:ascii="Arial" w:eastAsia="Calibri" w:hAnsi="Arial" w:cs="Arial"/>
                <w:bCs/>
                <w:sz w:val="24"/>
                <w:szCs w:val="24"/>
              </w:rPr>
              <w:t>‘‘</w:t>
            </w:r>
            <w:r w:rsidRPr="00BF4DF2">
              <w:rPr>
                <w:rFonts w:ascii="Arial" w:eastAsia="Calibri" w:hAnsi="Arial" w:cs="Arial"/>
                <w:bCs/>
                <w:i/>
                <w:sz w:val="24"/>
                <w:szCs w:val="24"/>
              </w:rPr>
              <w:t>Los jueces civiles del circuito conocen en primera instancia de los siguientes asuntos:</w:t>
            </w:r>
          </w:p>
          <w:p w:rsidR="00BF4DF2" w:rsidRPr="00BF4DF2" w:rsidRDefault="00BF4DF2" w:rsidP="00BF4DF2">
            <w:pPr>
              <w:spacing w:after="200" w:line="276" w:lineRule="auto"/>
              <w:contextualSpacing/>
              <w:jc w:val="both"/>
              <w:rPr>
                <w:rFonts w:ascii="Arial" w:eastAsia="Calibri" w:hAnsi="Arial" w:cs="Arial"/>
                <w:bCs/>
                <w:i/>
                <w:sz w:val="24"/>
                <w:szCs w:val="24"/>
              </w:rPr>
            </w:pPr>
            <w:r w:rsidRPr="00BF4DF2">
              <w:rPr>
                <w:rFonts w:ascii="Arial" w:eastAsia="Calibri" w:hAnsi="Arial" w:cs="Arial"/>
                <w:bCs/>
                <w:i/>
                <w:sz w:val="24"/>
                <w:szCs w:val="24"/>
              </w:rPr>
              <w:t xml:space="preserve">1. De los contenciosos de mayor cuantía, incluso los originados en relaciones de naturaleza agraria salvo los que le correspondan a la jurisdicción </w:t>
            </w:r>
            <w:proofErr w:type="gramStart"/>
            <w:r w:rsidRPr="00BF4DF2">
              <w:rPr>
                <w:rFonts w:ascii="Arial" w:eastAsia="Calibri" w:hAnsi="Arial" w:cs="Arial"/>
                <w:bCs/>
                <w:i/>
                <w:sz w:val="24"/>
                <w:szCs w:val="24"/>
              </w:rPr>
              <w:t>contencioso administrativa</w:t>
            </w:r>
            <w:proofErr w:type="gramEnd"/>
            <w:r w:rsidRPr="00BF4DF2">
              <w:rPr>
                <w:rFonts w:ascii="Arial" w:eastAsia="Calibri" w:hAnsi="Arial" w:cs="Arial"/>
                <w:bCs/>
                <w:i/>
                <w:sz w:val="24"/>
                <w:szCs w:val="24"/>
              </w:rPr>
              <w:t>.</w:t>
            </w:r>
          </w:p>
          <w:p w:rsidR="00BF4DF2" w:rsidRPr="00BF4DF2" w:rsidRDefault="00BF4DF2" w:rsidP="00513F52">
            <w:pPr>
              <w:spacing w:after="200" w:line="276" w:lineRule="auto"/>
              <w:contextualSpacing/>
              <w:jc w:val="both"/>
              <w:rPr>
                <w:rFonts w:ascii="Arial" w:eastAsia="Calibri" w:hAnsi="Arial" w:cs="Arial"/>
                <w:bCs/>
                <w:i/>
                <w:sz w:val="24"/>
                <w:szCs w:val="24"/>
              </w:rPr>
            </w:pPr>
          </w:p>
          <w:p w:rsidR="00BF4DF2" w:rsidRPr="00BF4DF2" w:rsidRDefault="00BF4DF2" w:rsidP="00513F52">
            <w:pPr>
              <w:spacing w:after="200" w:line="276" w:lineRule="auto"/>
              <w:contextualSpacing/>
              <w:jc w:val="both"/>
              <w:rPr>
                <w:rFonts w:ascii="Arial" w:eastAsia="Calibri" w:hAnsi="Arial" w:cs="Arial"/>
                <w:bCs/>
                <w:i/>
                <w:sz w:val="24"/>
                <w:szCs w:val="24"/>
              </w:rPr>
            </w:pPr>
            <w:r w:rsidRPr="00BF4DF2">
              <w:rPr>
                <w:rFonts w:ascii="Arial" w:eastAsia="Calibri" w:hAnsi="Arial" w:cs="Arial"/>
                <w:bCs/>
                <w:i/>
                <w:sz w:val="24"/>
                <w:szCs w:val="24"/>
              </w:rPr>
              <w:t xml:space="preserve">También conocerán de los procesos contenciosos de mayor cuantía por responsabilidad médica, de cualquier naturaleza y origen, sin consideración a las partes, salvo los que correspondan a la jurisdicción </w:t>
            </w:r>
            <w:proofErr w:type="gramStart"/>
            <w:r w:rsidRPr="00BF4DF2">
              <w:rPr>
                <w:rFonts w:ascii="Arial" w:eastAsia="Calibri" w:hAnsi="Arial" w:cs="Arial"/>
                <w:bCs/>
                <w:i/>
                <w:sz w:val="24"/>
                <w:szCs w:val="24"/>
              </w:rPr>
              <w:t>contencioso administrativa</w:t>
            </w:r>
            <w:proofErr w:type="gramEnd"/>
            <w:r w:rsidRPr="00BF4DF2">
              <w:rPr>
                <w:rFonts w:ascii="Arial" w:eastAsia="Calibri" w:hAnsi="Arial" w:cs="Arial"/>
                <w:bCs/>
                <w:i/>
                <w:sz w:val="24"/>
                <w:szCs w:val="24"/>
              </w:rPr>
              <w:t>.</w:t>
            </w:r>
          </w:p>
          <w:p w:rsidR="00BF4DF2" w:rsidRDefault="00BF4DF2" w:rsidP="00513F52">
            <w:pPr>
              <w:spacing w:after="200" w:line="276" w:lineRule="auto"/>
              <w:contextualSpacing/>
              <w:jc w:val="both"/>
              <w:rPr>
                <w:rFonts w:ascii="Arial" w:eastAsia="Calibri" w:hAnsi="Arial" w:cs="Arial"/>
                <w:bCs/>
                <w:sz w:val="24"/>
                <w:szCs w:val="24"/>
              </w:rPr>
            </w:pPr>
          </w:p>
          <w:p w:rsidR="00BF4DF2" w:rsidRPr="00BF4DF2" w:rsidRDefault="00BF4DF2" w:rsidP="00513F52">
            <w:pPr>
              <w:spacing w:after="200" w:line="276" w:lineRule="auto"/>
              <w:contextualSpacing/>
              <w:jc w:val="both"/>
              <w:rPr>
                <w:rFonts w:ascii="Arial" w:eastAsia="Calibri" w:hAnsi="Arial" w:cs="Arial"/>
                <w:bCs/>
                <w:sz w:val="24"/>
                <w:szCs w:val="24"/>
              </w:rPr>
            </w:pPr>
            <w:r>
              <w:rPr>
                <w:rFonts w:ascii="Arial" w:eastAsia="Calibri" w:hAnsi="Arial" w:cs="Arial"/>
                <w:bCs/>
                <w:sz w:val="24"/>
                <w:szCs w:val="24"/>
              </w:rPr>
              <w:t>(…)’’</w:t>
            </w:r>
          </w:p>
          <w:p w:rsidR="00BF4DF2" w:rsidRDefault="00BF4DF2" w:rsidP="00513F52">
            <w:pPr>
              <w:spacing w:after="200" w:line="276" w:lineRule="auto"/>
              <w:contextualSpacing/>
              <w:jc w:val="both"/>
              <w:rPr>
                <w:rFonts w:ascii="Arial" w:eastAsia="Calibri" w:hAnsi="Arial" w:cs="Arial"/>
                <w:b/>
                <w:bCs/>
                <w:sz w:val="24"/>
                <w:szCs w:val="24"/>
              </w:rPr>
            </w:pPr>
          </w:p>
          <w:p w:rsidR="00260EA3" w:rsidRPr="00260EA3" w:rsidRDefault="00260EA3" w:rsidP="00260EA3">
            <w:pPr>
              <w:spacing w:after="200" w:line="276" w:lineRule="auto"/>
              <w:contextualSpacing/>
              <w:jc w:val="both"/>
              <w:rPr>
                <w:rFonts w:ascii="Arial" w:eastAsia="Calibri" w:hAnsi="Arial" w:cs="Arial"/>
                <w:b/>
                <w:bCs/>
                <w:sz w:val="24"/>
                <w:szCs w:val="24"/>
              </w:rPr>
            </w:pPr>
            <w:bookmarkStart w:id="5" w:name="22"/>
            <w:r w:rsidRPr="00260EA3">
              <w:rPr>
                <w:rFonts w:ascii="Arial" w:eastAsia="Calibri" w:hAnsi="Arial" w:cs="Arial"/>
                <w:b/>
                <w:bCs/>
                <w:sz w:val="24"/>
                <w:szCs w:val="24"/>
              </w:rPr>
              <w:t>A</w:t>
            </w:r>
            <w:r w:rsidR="009B796F" w:rsidRPr="00260EA3">
              <w:rPr>
                <w:rFonts w:ascii="Arial" w:eastAsia="Calibri" w:hAnsi="Arial" w:cs="Arial"/>
                <w:b/>
                <w:bCs/>
                <w:sz w:val="24"/>
                <w:szCs w:val="24"/>
              </w:rPr>
              <w:t>rtículo</w:t>
            </w:r>
            <w:r w:rsidRPr="00260EA3">
              <w:rPr>
                <w:rFonts w:ascii="Arial" w:eastAsia="Calibri" w:hAnsi="Arial" w:cs="Arial"/>
                <w:b/>
                <w:bCs/>
                <w:sz w:val="24"/>
                <w:szCs w:val="24"/>
              </w:rPr>
              <w:t xml:space="preserve"> 22. </w:t>
            </w:r>
            <w:r w:rsidR="009B796F" w:rsidRPr="00260EA3">
              <w:rPr>
                <w:rFonts w:ascii="Arial" w:eastAsia="Calibri" w:hAnsi="Arial" w:cs="Arial"/>
                <w:b/>
                <w:bCs/>
                <w:sz w:val="24"/>
                <w:szCs w:val="24"/>
              </w:rPr>
              <w:t>Competencia de los jueces de familia en primera instancia.</w:t>
            </w:r>
            <w:bookmarkEnd w:id="5"/>
            <w:r w:rsidRPr="00260EA3">
              <w:rPr>
                <w:rFonts w:ascii="Arial" w:eastAsia="Calibri" w:hAnsi="Arial" w:cs="Arial"/>
                <w:b/>
                <w:bCs/>
                <w:sz w:val="24"/>
                <w:szCs w:val="24"/>
              </w:rPr>
              <w:t> </w:t>
            </w:r>
            <w:r w:rsidR="009B796F">
              <w:rPr>
                <w:rFonts w:ascii="Arial" w:eastAsia="Calibri" w:hAnsi="Arial" w:cs="Arial"/>
                <w:bCs/>
                <w:sz w:val="24"/>
                <w:szCs w:val="24"/>
              </w:rPr>
              <w:t>‘‘</w:t>
            </w:r>
            <w:r w:rsidRPr="00F862DE">
              <w:rPr>
                <w:rFonts w:ascii="Arial" w:eastAsia="Calibri" w:hAnsi="Arial" w:cs="Arial"/>
                <w:bCs/>
                <w:i/>
                <w:sz w:val="24"/>
                <w:szCs w:val="24"/>
              </w:rPr>
              <w:t>Los jueces de familia conocen, en primera instancia, de los siguientes asuntos:</w:t>
            </w:r>
          </w:p>
          <w:p w:rsidR="00260EA3" w:rsidRDefault="00260EA3" w:rsidP="00513F52">
            <w:pPr>
              <w:spacing w:after="200" w:line="276" w:lineRule="auto"/>
              <w:contextualSpacing/>
              <w:jc w:val="both"/>
              <w:rPr>
                <w:rFonts w:ascii="Arial" w:eastAsia="Calibri" w:hAnsi="Arial" w:cs="Arial"/>
                <w:b/>
                <w:bCs/>
                <w:sz w:val="24"/>
                <w:szCs w:val="24"/>
              </w:rPr>
            </w:pPr>
          </w:p>
          <w:p w:rsidR="00260EA3" w:rsidRDefault="009B796F" w:rsidP="00513F52">
            <w:pPr>
              <w:spacing w:after="200" w:line="276" w:lineRule="auto"/>
              <w:contextualSpacing/>
              <w:jc w:val="both"/>
              <w:rPr>
                <w:rFonts w:ascii="Arial" w:eastAsia="Calibri" w:hAnsi="Arial" w:cs="Arial"/>
                <w:bCs/>
                <w:sz w:val="24"/>
                <w:szCs w:val="24"/>
              </w:rPr>
            </w:pPr>
            <w:r>
              <w:rPr>
                <w:rFonts w:ascii="Arial" w:eastAsia="Calibri" w:hAnsi="Arial" w:cs="Arial"/>
                <w:bCs/>
                <w:sz w:val="24"/>
                <w:szCs w:val="24"/>
              </w:rPr>
              <w:t>(…)</w:t>
            </w:r>
          </w:p>
          <w:p w:rsidR="009B796F" w:rsidRDefault="009B796F" w:rsidP="00513F52">
            <w:pPr>
              <w:spacing w:after="200" w:line="276" w:lineRule="auto"/>
              <w:contextualSpacing/>
              <w:jc w:val="both"/>
              <w:rPr>
                <w:rFonts w:ascii="Arial" w:eastAsia="Calibri" w:hAnsi="Arial" w:cs="Arial"/>
                <w:bCs/>
                <w:sz w:val="24"/>
                <w:szCs w:val="24"/>
              </w:rPr>
            </w:pPr>
          </w:p>
          <w:p w:rsidR="009B796F" w:rsidRDefault="004E4E03" w:rsidP="00513F52">
            <w:pPr>
              <w:spacing w:after="200" w:line="276" w:lineRule="auto"/>
              <w:contextualSpacing/>
              <w:jc w:val="both"/>
              <w:rPr>
                <w:rFonts w:ascii="Arial" w:eastAsia="Calibri" w:hAnsi="Arial" w:cs="Arial"/>
                <w:bCs/>
                <w:sz w:val="24"/>
                <w:szCs w:val="24"/>
              </w:rPr>
            </w:pPr>
            <w:r w:rsidRPr="00F862DE">
              <w:rPr>
                <w:rFonts w:ascii="Arial" w:eastAsia="Calibri" w:hAnsi="Arial" w:cs="Arial"/>
                <w:bCs/>
                <w:i/>
                <w:sz w:val="24"/>
                <w:szCs w:val="24"/>
                <w:u w:val="single"/>
              </w:rPr>
              <w:lastRenderedPageBreak/>
              <w:t>9. De los procesos de sucesión de mayor cuantía, sin perjuicio de la competencia atribuida por la ley a los notarios</w:t>
            </w:r>
            <w:r w:rsidRPr="00F862DE">
              <w:rPr>
                <w:rFonts w:ascii="Arial" w:eastAsia="Calibri" w:hAnsi="Arial" w:cs="Arial"/>
                <w:bCs/>
                <w:i/>
                <w:sz w:val="24"/>
                <w:szCs w:val="24"/>
              </w:rPr>
              <w:t>.</w:t>
            </w:r>
            <w:r w:rsidR="00F862DE">
              <w:rPr>
                <w:rFonts w:ascii="Arial" w:eastAsia="Calibri" w:hAnsi="Arial" w:cs="Arial"/>
                <w:bCs/>
                <w:sz w:val="24"/>
                <w:szCs w:val="24"/>
              </w:rPr>
              <w:t>’’</w:t>
            </w:r>
          </w:p>
          <w:p w:rsidR="00F862DE" w:rsidRPr="00F862DE" w:rsidRDefault="00F862DE" w:rsidP="00513F52">
            <w:pPr>
              <w:spacing w:after="200" w:line="276" w:lineRule="auto"/>
              <w:contextualSpacing/>
              <w:jc w:val="both"/>
              <w:rPr>
                <w:rFonts w:ascii="Arial" w:eastAsia="Calibri" w:hAnsi="Arial" w:cs="Arial"/>
                <w:bCs/>
                <w:sz w:val="24"/>
                <w:szCs w:val="24"/>
              </w:rPr>
            </w:pPr>
            <w:r>
              <w:rPr>
                <w:rFonts w:ascii="Arial" w:eastAsia="Calibri" w:hAnsi="Arial" w:cs="Arial"/>
                <w:bCs/>
                <w:sz w:val="24"/>
                <w:szCs w:val="24"/>
              </w:rPr>
              <w:t>(Se subraya la parte demandada)</w:t>
            </w:r>
          </w:p>
          <w:p w:rsidR="007E2DCC" w:rsidRPr="007E2DCC" w:rsidRDefault="007E2DCC" w:rsidP="007E2DCC">
            <w:pPr>
              <w:spacing w:after="200" w:line="276" w:lineRule="auto"/>
              <w:contextualSpacing/>
              <w:jc w:val="both"/>
              <w:rPr>
                <w:rFonts w:ascii="Arial" w:eastAsia="Calibri" w:hAnsi="Arial" w:cs="Arial"/>
                <w:bCs/>
                <w:i/>
                <w:sz w:val="24"/>
                <w:szCs w:val="24"/>
              </w:rPr>
            </w:pPr>
            <w:bookmarkStart w:id="6" w:name="25"/>
            <w:r>
              <w:rPr>
                <w:rFonts w:ascii="Arial" w:eastAsia="Calibri" w:hAnsi="Arial" w:cs="Arial"/>
                <w:b/>
                <w:bCs/>
                <w:sz w:val="24"/>
                <w:szCs w:val="24"/>
              </w:rPr>
              <w:t>A</w:t>
            </w:r>
            <w:r w:rsidRPr="007E2DCC">
              <w:rPr>
                <w:rFonts w:ascii="Arial" w:eastAsia="Calibri" w:hAnsi="Arial" w:cs="Arial"/>
                <w:b/>
                <w:bCs/>
                <w:sz w:val="24"/>
                <w:szCs w:val="24"/>
              </w:rPr>
              <w:t>rtículo 25. Cuantía.</w:t>
            </w:r>
            <w:bookmarkEnd w:id="6"/>
            <w:r w:rsidRPr="007E2DCC">
              <w:rPr>
                <w:rFonts w:ascii="Arial" w:eastAsia="Calibri" w:hAnsi="Arial" w:cs="Arial"/>
                <w:bCs/>
                <w:sz w:val="24"/>
                <w:szCs w:val="24"/>
              </w:rPr>
              <w:t> </w:t>
            </w:r>
            <w:r>
              <w:rPr>
                <w:rFonts w:ascii="Arial" w:eastAsia="Calibri" w:hAnsi="Arial" w:cs="Arial"/>
                <w:bCs/>
                <w:sz w:val="24"/>
                <w:szCs w:val="24"/>
              </w:rPr>
              <w:t>‘‘</w:t>
            </w:r>
            <w:r w:rsidRPr="007E2DCC">
              <w:rPr>
                <w:rFonts w:ascii="Arial" w:eastAsia="Calibri" w:hAnsi="Arial" w:cs="Arial"/>
                <w:bCs/>
                <w:i/>
                <w:sz w:val="24"/>
                <w:szCs w:val="24"/>
              </w:rPr>
              <w:t>Cuando la competencia se determine por la cuantía, los procesos son de mayor, de menor y de mínima cuantía.</w:t>
            </w:r>
          </w:p>
          <w:p w:rsidR="007E2DCC" w:rsidRPr="007E2DCC" w:rsidRDefault="007E2DCC" w:rsidP="007E2DCC">
            <w:pPr>
              <w:spacing w:after="200" w:line="276" w:lineRule="auto"/>
              <w:contextualSpacing/>
              <w:jc w:val="both"/>
              <w:rPr>
                <w:rFonts w:ascii="Arial" w:eastAsia="Calibri" w:hAnsi="Arial" w:cs="Arial"/>
                <w:bCs/>
                <w:i/>
                <w:sz w:val="24"/>
                <w:szCs w:val="24"/>
              </w:rPr>
            </w:pPr>
          </w:p>
          <w:p w:rsidR="007E2DCC" w:rsidRPr="007E2DCC" w:rsidRDefault="007E2DCC" w:rsidP="007E2DCC">
            <w:pPr>
              <w:spacing w:after="200" w:line="276" w:lineRule="auto"/>
              <w:contextualSpacing/>
              <w:jc w:val="both"/>
              <w:rPr>
                <w:rFonts w:ascii="Arial" w:eastAsia="Calibri" w:hAnsi="Arial" w:cs="Arial"/>
                <w:bCs/>
                <w:i/>
                <w:sz w:val="24"/>
                <w:szCs w:val="24"/>
              </w:rPr>
            </w:pPr>
            <w:r w:rsidRPr="007E2DCC">
              <w:rPr>
                <w:rFonts w:ascii="Arial" w:eastAsia="Calibri" w:hAnsi="Arial" w:cs="Arial"/>
                <w:bCs/>
                <w:i/>
                <w:sz w:val="24"/>
                <w:szCs w:val="24"/>
              </w:rPr>
              <w:t xml:space="preserve">Son de mínima cuantía cuando versen sobre pretensiones patrimoniales que no excedan el equivalente a cuarenta salarios mínimos legales mensuales vigentes (40 </w:t>
            </w:r>
            <w:proofErr w:type="spellStart"/>
            <w:r w:rsidRPr="007E2DCC">
              <w:rPr>
                <w:rFonts w:ascii="Arial" w:eastAsia="Calibri" w:hAnsi="Arial" w:cs="Arial"/>
                <w:bCs/>
                <w:i/>
                <w:sz w:val="24"/>
                <w:szCs w:val="24"/>
              </w:rPr>
              <w:t>smlmv</w:t>
            </w:r>
            <w:proofErr w:type="spellEnd"/>
            <w:r w:rsidRPr="007E2DCC">
              <w:rPr>
                <w:rFonts w:ascii="Arial" w:eastAsia="Calibri" w:hAnsi="Arial" w:cs="Arial"/>
                <w:bCs/>
                <w:i/>
                <w:sz w:val="24"/>
                <w:szCs w:val="24"/>
              </w:rPr>
              <w:t>).</w:t>
            </w:r>
          </w:p>
          <w:p w:rsidR="007E2DCC" w:rsidRPr="007E2DCC" w:rsidRDefault="007E2DCC" w:rsidP="007E2DCC">
            <w:pPr>
              <w:spacing w:after="200" w:line="276" w:lineRule="auto"/>
              <w:contextualSpacing/>
              <w:jc w:val="both"/>
              <w:rPr>
                <w:rFonts w:ascii="Arial" w:eastAsia="Calibri" w:hAnsi="Arial" w:cs="Arial"/>
                <w:bCs/>
                <w:i/>
                <w:sz w:val="24"/>
                <w:szCs w:val="24"/>
              </w:rPr>
            </w:pPr>
          </w:p>
          <w:p w:rsidR="007E2DCC" w:rsidRPr="007E2DCC" w:rsidRDefault="007E2DCC" w:rsidP="007E2DCC">
            <w:pPr>
              <w:spacing w:after="200" w:line="276" w:lineRule="auto"/>
              <w:contextualSpacing/>
              <w:jc w:val="both"/>
              <w:rPr>
                <w:rFonts w:ascii="Arial" w:eastAsia="Calibri" w:hAnsi="Arial" w:cs="Arial"/>
                <w:bCs/>
                <w:i/>
                <w:sz w:val="24"/>
                <w:szCs w:val="24"/>
              </w:rPr>
            </w:pPr>
            <w:r w:rsidRPr="007E2DCC">
              <w:rPr>
                <w:rFonts w:ascii="Arial" w:eastAsia="Calibri" w:hAnsi="Arial" w:cs="Arial"/>
                <w:bCs/>
                <w:i/>
                <w:sz w:val="24"/>
                <w:szCs w:val="24"/>
              </w:rPr>
              <w:t xml:space="preserve">Son de menor cuantía cuando versen sobre pretensiones patrimoniales que excedan el equivalente a cuarenta salarios mínimos legales mensuales vigentes (40 </w:t>
            </w:r>
            <w:proofErr w:type="spellStart"/>
            <w:r w:rsidRPr="007E2DCC">
              <w:rPr>
                <w:rFonts w:ascii="Arial" w:eastAsia="Calibri" w:hAnsi="Arial" w:cs="Arial"/>
                <w:bCs/>
                <w:i/>
                <w:sz w:val="24"/>
                <w:szCs w:val="24"/>
              </w:rPr>
              <w:t>smlmv</w:t>
            </w:r>
            <w:proofErr w:type="spellEnd"/>
            <w:r w:rsidRPr="007E2DCC">
              <w:rPr>
                <w:rFonts w:ascii="Arial" w:eastAsia="Calibri" w:hAnsi="Arial" w:cs="Arial"/>
                <w:bCs/>
                <w:i/>
                <w:sz w:val="24"/>
                <w:szCs w:val="24"/>
              </w:rPr>
              <w:t xml:space="preserve">) sin exceder el equivalente a ciento cincuenta salarios mínimos legales mensuales vigentes (150 </w:t>
            </w:r>
            <w:proofErr w:type="spellStart"/>
            <w:r w:rsidRPr="007E2DCC">
              <w:rPr>
                <w:rFonts w:ascii="Arial" w:eastAsia="Calibri" w:hAnsi="Arial" w:cs="Arial"/>
                <w:bCs/>
                <w:i/>
                <w:sz w:val="24"/>
                <w:szCs w:val="24"/>
              </w:rPr>
              <w:t>smlmv</w:t>
            </w:r>
            <w:proofErr w:type="spellEnd"/>
            <w:r w:rsidRPr="007E2DCC">
              <w:rPr>
                <w:rFonts w:ascii="Arial" w:eastAsia="Calibri" w:hAnsi="Arial" w:cs="Arial"/>
                <w:bCs/>
                <w:i/>
                <w:sz w:val="24"/>
                <w:szCs w:val="24"/>
              </w:rPr>
              <w:t>).</w:t>
            </w:r>
          </w:p>
          <w:p w:rsidR="007E2DCC" w:rsidRPr="007E2DCC" w:rsidRDefault="007E2DCC" w:rsidP="007E2DCC">
            <w:pPr>
              <w:spacing w:after="200" w:line="276" w:lineRule="auto"/>
              <w:contextualSpacing/>
              <w:jc w:val="both"/>
              <w:rPr>
                <w:rFonts w:ascii="Arial" w:eastAsia="Calibri" w:hAnsi="Arial" w:cs="Arial"/>
                <w:bCs/>
                <w:i/>
                <w:sz w:val="24"/>
                <w:szCs w:val="24"/>
              </w:rPr>
            </w:pPr>
          </w:p>
          <w:p w:rsidR="007E2DCC" w:rsidRPr="007E2DCC" w:rsidRDefault="007E2DCC" w:rsidP="007E2DCC">
            <w:pPr>
              <w:spacing w:after="200" w:line="276" w:lineRule="auto"/>
              <w:contextualSpacing/>
              <w:jc w:val="both"/>
              <w:rPr>
                <w:rFonts w:ascii="Arial" w:eastAsia="Calibri" w:hAnsi="Arial" w:cs="Arial"/>
                <w:bCs/>
                <w:sz w:val="24"/>
                <w:szCs w:val="24"/>
              </w:rPr>
            </w:pPr>
            <w:r w:rsidRPr="007E2DCC">
              <w:rPr>
                <w:rFonts w:ascii="Arial" w:eastAsia="Calibri" w:hAnsi="Arial" w:cs="Arial"/>
                <w:bCs/>
                <w:i/>
                <w:sz w:val="24"/>
                <w:szCs w:val="24"/>
              </w:rPr>
              <w:t xml:space="preserve">Son de mayor cuantía cuando versen sobre pretensiones patrimoniales que excedan el equivalente a ciento cincuenta salarios mínimos legales mensuales vigentes (150 </w:t>
            </w:r>
            <w:proofErr w:type="spellStart"/>
            <w:r w:rsidRPr="007E2DCC">
              <w:rPr>
                <w:rFonts w:ascii="Arial" w:eastAsia="Calibri" w:hAnsi="Arial" w:cs="Arial"/>
                <w:bCs/>
                <w:i/>
                <w:sz w:val="24"/>
                <w:szCs w:val="24"/>
              </w:rPr>
              <w:t>smlmv</w:t>
            </w:r>
            <w:proofErr w:type="spellEnd"/>
            <w:r w:rsidRPr="007E2DCC">
              <w:rPr>
                <w:rFonts w:ascii="Arial" w:eastAsia="Calibri" w:hAnsi="Arial" w:cs="Arial"/>
                <w:bCs/>
                <w:i/>
                <w:sz w:val="24"/>
                <w:szCs w:val="24"/>
              </w:rPr>
              <w:t>).</w:t>
            </w:r>
          </w:p>
          <w:p w:rsidR="00260EA3" w:rsidRPr="00C21977" w:rsidRDefault="00260EA3" w:rsidP="00513F52">
            <w:pPr>
              <w:spacing w:after="200" w:line="276" w:lineRule="auto"/>
              <w:contextualSpacing/>
              <w:jc w:val="both"/>
              <w:rPr>
                <w:rFonts w:ascii="Arial" w:eastAsia="Calibri" w:hAnsi="Arial" w:cs="Arial"/>
                <w:bCs/>
                <w:sz w:val="24"/>
                <w:szCs w:val="24"/>
              </w:rPr>
            </w:pPr>
          </w:p>
          <w:p w:rsidR="00C21977" w:rsidRPr="007E2DCC" w:rsidRDefault="007E2DCC" w:rsidP="00513F52">
            <w:pPr>
              <w:spacing w:after="200" w:line="276" w:lineRule="auto"/>
              <w:contextualSpacing/>
              <w:jc w:val="both"/>
              <w:rPr>
                <w:rFonts w:ascii="Arial" w:eastAsia="Calibri" w:hAnsi="Arial" w:cs="Arial"/>
                <w:bCs/>
                <w:sz w:val="24"/>
                <w:szCs w:val="24"/>
              </w:rPr>
            </w:pPr>
            <w:r>
              <w:rPr>
                <w:rFonts w:ascii="Arial" w:eastAsia="Calibri" w:hAnsi="Arial" w:cs="Arial"/>
                <w:bCs/>
                <w:sz w:val="24"/>
                <w:szCs w:val="24"/>
              </w:rPr>
              <w:t>(…)’’</w:t>
            </w:r>
          </w:p>
          <w:p w:rsidR="00C21977" w:rsidRDefault="00C21977" w:rsidP="00513F52">
            <w:pPr>
              <w:spacing w:after="200" w:line="276" w:lineRule="auto"/>
              <w:contextualSpacing/>
              <w:jc w:val="both"/>
              <w:rPr>
                <w:rFonts w:ascii="Arial" w:eastAsia="Calibri" w:hAnsi="Arial" w:cs="Arial"/>
                <w:b/>
                <w:bCs/>
                <w:sz w:val="24"/>
                <w:szCs w:val="24"/>
              </w:rPr>
            </w:pPr>
          </w:p>
          <w:p w:rsidR="00AF2E01" w:rsidRPr="00427869" w:rsidRDefault="00AF2E01" w:rsidP="00AF2E01">
            <w:pPr>
              <w:spacing w:after="200" w:line="276" w:lineRule="auto"/>
              <w:contextualSpacing/>
              <w:jc w:val="both"/>
              <w:rPr>
                <w:rFonts w:ascii="Arial" w:eastAsia="Calibri" w:hAnsi="Arial" w:cs="Arial"/>
                <w:bCs/>
                <w:i/>
                <w:sz w:val="24"/>
                <w:szCs w:val="24"/>
              </w:rPr>
            </w:pPr>
            <w:bookmarkStart w:id="7" w:name="26"/>
            <w:r w:rsidRPr="00AF2E01">
              <w:rPr>
                <w:rFonts w:ascii="Arial" w:eastAsia="Calibri" w:hAnsi="Arial" w:cs="Arial"/>
                <w:b/>
                <w:bCs/>
                <w:sz w:val="24"/>
                <w:szCs w:val="24"/>
              </w:rPr>
              <w:t>Artículo 26. Determinación de la cuantía.</w:t>
            </w:r>
            <w:bookmarkEnd w:id="7"/>
            <w:r w:rsidRPr="00AF2E01">
              <w:rPr>
                <w:rFonts w:ascii="Arial" w:eastAsia="Calibri" w:hAnsi="Arial" w:cs="Arial"/>
                <w:bCs/>
                <w:sz w:val="24"/>
                <w:szCs w:val="24"/>
              </w:rPr>
              <w:t> </w:t>
            </w:r>
            <w:r>
              <w:rPr>
                <w:rFonts w:ascii="Arial" w:eastAsia="Calibri" w:hAnsi="Arial" w:cs="Arial"/>
                <w:bCs/>
                <w:sz w:val="24"/>
                <w:szCs w:val="24"/>
              </w:rPr>
              <w:t>‘‘</w:t>
            </w:r>
            <w:r w:rsidRPr="00427869">
              <w:rPr>
                <w:rFonts w:ascii="Arial" w:eastAsia="Calibri" w:hAnsi="Arial" w:cs="Arial"/>
                <w:bCs/>
                <w:i/>
                <w:sz w:val="24"/>
                <w:szCs w:val="24"/>
              </w:rPr>
              <w:t>La cuantía se determinará así:</w:t>
            </w:r>
          </w:p>
          <w:p w:rsidR="00AF2E01" w:rsidRPr="00427869" w:rsidRDefault="00AF2E01" w:rsidP="00AF2E01">
            <w:pPr>
              <w:spacing w:after="200" w:line="276" w:lineRule="auto"/>
              <w:contextualSpacing/>
              <w:jc w:val="both"/>
              <w:rPr>
                <w:rFonts w:ascii="Arial" w:eastAsia="Calibri" w:hAnsi="Arial" w:cs="Arial"/>
                <w:bCs/>
                <w:i/>
                <w:sz w:val="24"/>
                <w:szCs w:val="24"/>
              </w:rPr>
            </w:pPr>
          </w:p>
          <w:p w:rsidR="00AF2E01" w:rsidRPr="00427869" w:rsidRDefault="00AF2E01" w:rsidP="00AF2E01">
            <w:pPr>
              <w:spacing w:after="200" w:line="276" w:lineRule="auto"/>
              <w:contextualSpacing/>
              <w:jc w:val="both"/>
              <w:rPr>
                <w:rFonts w:ascii="Arial" w:eastAsia="Calibri" w:hAnsi="Arial" w:cs="Arial"/>
                <w:bCs/>
                <w:i/>
                <w:sz w:val="24"/>
                <w:szCs w:val="24"/>
              </w:rPr>
            </w:pPr>
            <w:r w:rsidRPr="00427869">
              <w:rPr>
                <w:rFonts w:ascii="Arial" w:eastAsia="Calibri" w:hAnsi="Arial" w:cs="Arial"/>
                <w:bCs/>
                <w:i/>
                <w:sz w:val="24"/>
                <w:szCs w:val="24"/>
              </w:rPr>
              <w:t>1. Por el valor de todas las pretensiones al tiempo de la demanda, sin tomar en cuenta los frutos, intereses, multas o perjuicios reclamados como accesorios que se causen con posterioridad a su presentación.</w:t>
            </w:r>
          </w:p>
          <w:p w:rsidR="00AF2E01" w:rsidRPr="00427869" w:rsidRDefault="00AF2E01" w:rsidP="00AF2E01">
            <w:pPr>
              <w:spacing w:after="200" w:line="276" w:lineRule="auto"/>
              <w:contextualSpacing/>
              <w:jc w:val="both"/>
              <w:rPr>
                <w:rFonts w:ascii="Arial" w:eastAsia="Calibri" w:hAnsi="Arial" w:cs="Arial"/>
                <w:bCs/>
                <w:i/>
                <w:sz w:val="24"/>
                <w:szCs w:val="24"/>
              </w:rPr>
            </w:pPr>
          </w:p>
          <w:p w:rsidR="00AF2E01" w:rsidRPr="00427869" w:rsidRDefault="00AF2E01" w:rsidP="00AF2E01">
            <w:pPr>
              <w:spacing w:after="200" w:line="276" w:lineRule="auto"/>
              <w:contextualSpacing/>
              <w:jc w:val="both"/>
              <w:rPr>
                <w:rFonts w:ascii="Arial" w:eastAsia="Calibri" w:hAnsi="Arial" w:cs="Arial"/>
                <w:bCs/>
                <w:i/>
                <w:sz w:val="24"/>
                <w:szCs w:val="24"/>
              </w:rPr>
            </w:pPr>
            <w:r w:rsidRPr="00427869">
              <w:rPr>
                <w:rFonts w:ascii="Arial" w:eastAsia="Calibri" w:hAnsi="Arial" w:cs="Arial"/>
                <w:bCs/>
                <w:i/>
                <w:sz w:val="24"/>
                <w:szCs w:val="24"/>
              </w:rPr>
              <w:t>2. En los procesos de deslinde y amojonamiento, por el avalúo catastral del inmueble en poder del demandante.</w:t>
            </w:r>
          </w:p>
          <w:p w:rsidR="00427869" w:rsidRPr="00427869" w:rsidRDefault="00427869" w:rsidP="00AF2E01">
            <w:pPr>
              <w:spacing w:after="200" w:line="276" w:lineRule="auto"/>
              <w:contextualSpacing/>
              <w:jc w:val="both"/>
              <w:rPr>
                <w:rFonts w:ascii="Arial" w:eastAsia="Calibri" w:hAnsi="Arial" w:cs="Arial"/>
                <w:bCs/>
                <w:i/>
                <w:sz w:val="24"/>
                <w:szCs w:val="24"/>
              </w:rPr>
            </w:pPr>
          </w:p>
          <w:p w:rsidR="00AF2E01" w:rsidRPr="00427869" w:rsidRDefault="00AF2E01" w:rsidP="00AF2E01">
            <w:pPr>
              <w:spacing w:after="200" w:line="276" w:lineRule="auto"/>
              <w:contextualSpacing/>
              <w:jc w:val="both"/>
              <w:rPr>
                <w:rFonts w:ascii="Arial" w:eastAsia="Calibri" w:hAnsi="Arial" w:cs="Arial"/>
                <w:bCs/>
                <w:i/>
                <w:sz w:val="24"/>
                <w:szCs w:val="24"/>
              </w:rPr>
            </w:pPr>
            <w:r w:rsidRPr="00427869">
              <w:rPr>
                <w:rFonts w:ascii="Arial" w:eastAsia="Calibri" w:hAnsi="Arial" w:cs="Arial"/>
                <w:bCs/>
                <w:i/>
                <w:sz w:val="24"/>
                <w:szCs w:val="24"/>
              </w:rPr>
              <w:t>3. En los procesos de pertenencia, los de saneamiento de la titulación y los demás que versen sobre el dominio o la posesión de bienes, por el avalúo catastral de estos.</w:t>
            </w:r>
          </w:p>
          <w:p w:rsidR="00427869" w:rsidRPr="00427869" w:rsidRDefault="00427869" w:rsidP="00AF2E01">
            <w:pPr>
              <w:spacing w:after="200" w:line="276" w:lineRule="auto"/>
              <w:contextualSpacing/>
              <w:jc w:val="both"/>
              <w:rPr>
                <w:rFonts w:ascii="Arial" w:eastAsia="Calibri" w:hAnsi="Arial" w:cs="Arial"/>
                <w:bCs/>
                <w:i/>
                <w:sz w:val="24"/>
                <w:szCs w:val="24"/>
              </w:rPr>
            </w:pPr>
          </w:p>
          <w:p w:rsidR="00AF2E01" w:rsidRPr="00427869" w:rsidRDefault="00AF2E01" w:rsidP="00AF2E01">
            <w:pPr>
              <w:spacing w:after="200" w:line="276" w:lineRule="auto"/>
              <w:contextualSpacing/>
              <w:jc w:val="both"/>
              <w:rPr>
                <w:rFonts w:ascii="Arial" w:eastAsia="Calibri" w:hAnsi="Arial" w:cs="Arial"/>
                <w:bCs/>
                <w:i/>
                <w:sz w:val="24"/>
                <w:szCs w:val="24"/>
              </w:rPr>
            </w:pPr>
            <w:r w:rsidRPr="00427869">
              <w:rPr>
                <w:rFonts w:ascii="Arial" w:eastAsia="Calibri" w:hAnsi="Arial" w:cs="Arial"/>
                <w:bCs/>
                <w:i/>
                <w:sz w:val="24"/>
                <w:szCs w:val="24"/>
              </w:rPr>
              <w:lastRenderedPageBreak/>
              <w:t>4. En los procesos divisorios que versen sobre bienes inmuebles por el valor del avalúo catastral y cuando versen sobre bienes muebles por el valor de los bienes objeto de la partición o venta.</w:t>
            </w:r>
          </w:p>
          <w:p w:rsidR="00AF2E01" w:rsidRPr="004C5339" w:rsidRDefault="00AF2E01" w:rsidP="00AF2E01">
            <w:pPr>
              <w:spacing w:after="200" w:line="276" w:lineRule="auto"/>
              <w:contextualSpacing/>
              <w:jc w:val="both"/>
              <w:rPr>
                <w:rFonts w:ascii="Arial" w:eastAsia="Calibri" w:hAnsi="Arial" w:cs="Arial"/>
                <w:bCs/>
                <w:i/>
                <w:sz w:val="24"/>
                <w:szCs w:val="24"/>
              </w:rPr>
            </w:pPr>
            <w:r w:rsidRPr="004C5339">
              <w:rPr>
                <w:rFonts w:ascii="Arial" w:eastAsia="Calibri" w:hAnsi="Arial" w:cs="Arial"/>
                <w:bCs/>
                <w:i/>
                <w:sz w:val="24"/>
                <w:szCs w:val="24"/>
              </w:rPr>
              <w:t>5. En los procesos de sucesión, por el valor de los bienes relictos, que en el caso de los inmuebles será el avalúo catastral.</w:t>
            </w:r>
          </w:p>
          <w:p w:rsidR="00427869" w:rsidRPr="004C5339" w:rsidRDefault="00427869" w:rsidP="00AF2E01">
            <w:pPr>
              <w:spacing w:after="200" w:line="276" w:lineRule="auto"/>
              <w:contextualSpacing/>
              <w:jc w:val="both"/>
              <w:rPr>
                <w:rFonts w:ascii="Arial" w:eastAsia="Calibri" w:hAnsi="Arial" w:cs="Arial"/>
                <w:bCs/>
                <w:i/>
                <w:sz w:val="24"/>
                <w:szCs w:val="24"/>
              </w:rPr>
            </w:pPr>
          </w:p>
          <w:p w:rsidR="00AF2E01" w:rsidRPr="004C5339" w:rsidRDefault="00AF2E01" w:rsidP="00AF2E01">
            <w:pPr>
              <w:spacing w:after="200" w:line="276" w:lineRule="auto"/>
              <w:contextualSpacing/>
              <w:jc w:val="both"/>
              <w:rPr>
                <w:rFonts w:ascii="Arial" w:eastAsia="Calibri" w:hAnsi="Arial" w:cs="Arial"/>
                <w:bCs/>
                <w:i/>
                <w:sz w:val="24"/>
                <w:szCs w:val="24"/>
              </w:rPr>
            </w:pPr>
            <w:r w:rsidRPr="004C5339">
              <w:rPr>
                <w:rFonts w:ascii="Arial" w:eastAsia="Calibri" w:hAnsi="Arial" w:cs="Arial"/>
                <w:bCs/>
                <w:i/>
                <w:sz w:val="24"/>
                <w:szCs w:val="24"/>
              </w:rPr>
              <w:t>6. En los procesos de tenencia por arrendamiento, por el valor actual de la renta durante el término pactado inicialmente en el contrato, y si fuere a plazo indefinido por el valor de la renta de los doce (12) meses anteriores a la presentación de la demanda. Cuando la renta deba pagarse con los frutos naturales del bien arrendado, por el valor de aquellos en los últimos doce (12) meses. En los demás procesos de tenencia la cuantía se determinará por el valor de los bienes, que en el caso de los inmuebles será el avalúo catastral.</w:t>
            </w:r>
          </w:p>
          <w:p w:rsidR="00427869" w:rsidRPr="004C5339" w:rsidRDefault="00427869" w:rsidP="00AF2E01">
            <w:pPr>
              <w:spacing w:after="200" w:line="276" w:lineRule="auto"/>
              <w:contextualSpacing/>
              <w:jc w:val="both"/>
              <w:rPr>
                <w:rFonts w:ascii="Arial" w:eastAsia="Calibri" w:hAnsi="Arial" w:cs="Arial"/>
                <w:bCs/>
                <w:i/>
                <w:sz w:val="24"/>
                <w:szCs w:val="24"/>
              </w:rPr>
            </w:pPr>
          </w:p>
          <w:p w:rsidR="00AF2E01" w:rsidRDefault="00AF2E01" w:rsidP="00513F52">
            <w:pPr>
              <w:spacing w:after="200" w:line="276" w:lineRule="auto"/>
              <w:contextualSpacing/>
              <w:jc w:val="both"/>
              <w:rPr>
                <w:rFonts w:ascii="Arial" w:eastAsia="Calibri" w:hAnsi="Arial" w:cs="Arial"/>
                <w:bCs/>
                <w:sz w:val="24"/>
                <w:szCs w:val="24"/>
              </w:rPr>
            </w:pPr>
            <w:r w:rsidRPr="004C5339">
              <w:rPr>
                <w:rFonts w:ascii="Arial" w:eastAsia="Calibri" w:hAnsi="Arial" w:cs="Arial"/>
                <w:bCs/>
                <w:i/>
                <w:sz w:val="24"/>
                <w:szCs w:val="24"/>
              </w:rPr>
              <w:t>7. En los procesos de servidumbres, por el avalúo catastral del predio sirviente.</w:t>
            </w:r>
            <w:r w:rsidR="00427869">
              <w:rPr>
                <w:rFonts w:ascii="Arial" w:eastAsia="Calibri" w:hAnsi="Arial" w:cs="Arial"/>
                <w:bCs/>
                <w:sz w:val="24"/>
                <w:szCs w:val="24"/>
              </w:rPr>
              <w:t>’’</w:t>
            </w:r>
          </w:p>
          <w:p w:rsidR="00B25CA6" w:rsidRDefault="00B25CA6" w:rsidP="00513F52">
            <w:pPr>
              <w:spacing w:after="200" w:line="276" w:lineRule="auto"/>
              <w:contextualSpacing/>
              <w:jc w:val="both"/>
              <w:rPr>
                <w:rFonts w:ascii="Arial" w:eastAsia="Calibri" w:hAnsi="Arial" w:cs="Arial"/>
                <w:bCs/>
                <w:sz w:val="24"/>
                <w:szCs w:val="24"/>
              </w:rPr>
            </w:pPr>
          </w:p>
          <w:p w:rsidR="00BF400B" w:rsidRPr="00A87869" w:rsidRDefault="00BF400B" w:rsidP="00BF400B">
            <w:pPr>
              <w:spacing w:after="200" w:line="276" w:lineRule="auto"/>
              <w:contextualSpacing/>
              <w:jc w:val="both"/>
              <w:rPr>
                <w:rFonts w:ascii="Arial" w:eastAsia="Calibri" w:hAnsi="Arial" w:cs="Arial"/>
                <w:bCs/>
                <w:i/>
                <w:sz w:val="24"/>
                <w:szCs w:val="24"/>
              </w:rPr>
            </w:pPr>
            <w:bookmarkStart w:id="8" w:name="27"/>
            <w:r w:rsidRPr="00BF400B">
              <w:rPr>
                <w:rFonts w:ascii="Arial" w:eastAsia="Calibri" w:hAnsi="Arial" w:cs="Arial"/>
                <w:b/>
                <w:bCs/>
                <w:sz w:val="24"/>
                <w:szCs w:val="24"/>
              </w:rPr>
              <w:t>Artículo 27. Conservación y alteración de la competencia.</w:t>
            </w:r>
            <w:bookmarkEnd w:id="8"/>
            <w:r w:rsidRPr="00BF400B">
              <w:rPr>
                <w:rFonts w:ascii="Arial" w:eastAsia="Calibri" w:hAnsi="Arial" w:cs="Arial"/>
                <w:bCs/>
                <w:sz w:val="24"/>
                <w:szCs w:val="24"/>
              </w:rPr>
              <w:t> </w:t>
            </w:r>
            <w:r w:rsidR="00A87869">
              <w:rPr>
                <w:rFonts w:ascii="Arial" w:eastAsia="Calibri" w:hAnsi="Arial" w:cs="Arial"/>
                <w:bCs/>
                <w:sz w:val="24"/>
                <w:szCs w:val="24"/>
              </w:rPr>
              <w:t>‘‘</w:t>
            </w:r>
            <w:r w:rsidRPr="00A87869">
              <w:rPr>
                <w:rFonts w:ascii="Arial" w:eastAsia="Calibri" w:hAnsi="Arial" w:cs="Arial"/>
                <w:bCs/>
                <w:i/>
                <w:sz w:val="24"/>
                <w:szCs w:val="24"/>
              </w:rPr>
              <w:t>La competencia no variará por la intervención sobreviniente de personas que tengan fuero especial o porque dejaren de ser parte en el proceso, salvo cuando se trate de un estado extranjero o un agente diplomático acreditado ante el Gobierno de la República frente a los cuales la Sala Civil de la Corte Suprema de Justicia tenga competencia.</w:t>
            </w:r>
          </w:p>
          <w:p w:rsidR="00A87869" w:rsidRPr="00A87869" w:rsidRDefault="00A87869" w:rsidP="00BF400B">
            <w:pPr>
              <w:spacing w:after="200" w:line="276" w:lineRule="auto"/>
              <w:contextualSpacing/>
              <w:jc w:val="both"/>
              <w:rPr>
                <w:rFonts w:ascii="Arial" w:eastAsia="Calibri" w:hAnsi="Arial" w:cs="Arial"/>
                <w:bCs/>
                <w:i/>
                <w:sz w:val="24"/>
                <w:szCs w:val="24"/>
              </w:rPr>
            </w:pPr>
          </w:p>
          <w:p w:rsidR="00BF400B" w:rsidRPr="00A87869" w:rsidRDefault="00BF400B" w:rsidP="00BF400B">
            <w:pPr>
              <w:spacing w:after="200" w:line="276" w:lineRule="auto"/>
              <w:contextualSpacing/>
              <w:jc w:val="both"/>
              <w:rPr>
                <w:rFonts w:ascii="Arial" w:eastAsia="Calibri" w:hAnsi="Arial" w:cs="Arial"/>
                <w:bCs/>
                <w:i/>
                <w:sz w:val="24"/>
                <w:szCs w:val="24"/>
              </w:rPr>
            </w:pPr>
            <w:r w:rsidRPr="00A87869">
              <w:rPr>
                <w:rFonts w:ascii="Arial" w:eastAsia="Calibri" w:hAnsi="Arial" w:cs="Arial"/>
                <w:bCs/>
                <w:i/>
                <w:sz w:val="24"/>
                <w:szCs w:val="24"/>
              </w:rPr>
              <w:t>La competencia por razón de la cuantía podrá modificarse solo en los procesos contenciosos que se tramitan ante juez municipal, por causa de reforma de demanda, demanda de reconvención o acumulación de procesos o de demandas.</w:t>
            </w:r>
          </w:p>
          <w:p w:rsidR="00A87869" w:rsidRPr="00A87869" w:rsidRDefault="00A87869" w:rsidP="00BF400B">
            <w:pPr>
              <w:spacing w:after="200" w:line="276" w:lineRule="auto"/>
              <w:contextualSpacing/>
              <w:jc w:val="both"/>
              <w:rPr>
                <w:rFonts w:ascii="Arial" w:eastAsia="Calibri" w:hAnsi="Arial" w:cs="Arial"/>
                <w:bCs/>
                <w:i/>
                <w:sz w:val="24"/>
                <w:szCs w:val="24"/>
              </w:rPr>
            </w:pPr>
          </w:p>
          <w:p w:rsidR="00BF400B" w:rsidRPr="00A87869" w:rsidRDefault="00BF400B" w:rsidP="00BF400B">
            <w:pPr>
              <w:spacing w:after="200" w:line="276" w:lineRule="auto"/>
              <w:contextualSpacing/>
              <w:jc w:val="both"/>
              <w:rPr>
                <w:rFonts w:ascii="Arial" w:eastAsia="Calibri" w:hAnsi="Arial" w:cs="Arial"/>
                <w:bCs/>
                <w:i/>
                <w:sz w:val="24"/>
                <w:szCs w:val="24"/>
              </w:rPr>
            </w:pPr>
            <w:r w:rsidRPr="00A87869">
              <w:rPr>
                <w:rFonts w:ascii="Arial" w:eastAsia="Calibri" w:hAnsi="Arial" w:cs="Arial"/>
                <w:bCs/>
                <w:i/>
                <w:sz w:val="24"/>
                <w:szCs w:val="24"/>
              </w:rPr>
              <w:t xml:space="preserve">Cuando se altere la competencia con arreglo a lo dispuesto en este artículo, lo actuado hasta entonces </w:t>
            </w:r>
            <w:r w:rsidRPr="00A87869">
              <w:rPr>
                <w:rFonts w:ascii="Arial" w:eastAsia="Calibri" w:hAnsi="Arial" w:cs="Arial"/>
                <w:bCs/>
                <w:i/>
                <w:sz w:val="24"/>
                <w:szCs w:val="24"/>
              </w:rPr>
              <w:lastRenderedPageBreak/>
              <w:t>conservará su validez y el juez lo remitirá a quien resulte competente.</w:t>
            </w:r>
          </w:p>
          <w:p w:rsidR="00A87869" w:rsidRPr="00A87869" w:rsidRDefault="00A87869" w:rsidP="00BF400B">
            <w:pPr>
              <w:spacing w:after="200" w:line="276" w:lineRule="auto"/>
              <w:contextualSpacing/>
              <w:jc w:val="both"/>
              <w:rPr>
                <w:rFonts w:ascii="Arial" w:eastAsia="Calibri" w:hAnsi="Arial" w:cs="Arial"/>
                <w:bCs/>
                <w:i/>
                <w:sz w:val="24"/>
                <w:szCs w:val="24"/>
              </w:rPr>
            </w:pPr>
          </w:p>
          <w:p w:rsidR="00BF400B" w:rsidRDefault="00BF400B" w:rsidP="00BF400B">
            <w:pPr>
              <w:spacing w:after="200" w:line="276" w:lineRule="auto"/>
              <w:contextualSpacing/>
              <w:jc w:val="both"/>
              <w:rPr>
                <w:rFonts w:ascii="Arial" w:eastAsia="Calibri" w:hAnsi="Arial" w:cs="Arial"/>
                <w:bCs/>
                <w:sz w:val="24"/>
                <w:szCs w:val="24"/>
              </w:rPr>
            </w:pPr>
            <w:r w:rsidRPr="00A87869">
              <w:rPr>
                <w:rFonts w:ascii="Arial" w:eastAsia="Calibri" w:hAnsi="Arial" w:cs="Arial"/>
                <w:bCs/>
                <w:i/>
                <w:sz w:val="24"/>
                <w:szCs w:val="24"/>
              </w:rPr>
              <w:t>Se alterará la competencia cuando la Sala Administrativa del Consejo Superior de la Judicatura haya dispuesto que una vez en firme la sentencia deban remitirse los expedientes a las oficinas de apoyo u oficinas de ejecución de sentencias declarativas o ejecutivas. En este evento los funcionarios y empleados judiciales adscritos a dichas oficinas ejercerán las actuaciones jurisdiccionales y administrativas que sean necesarias para seguir adelante la ejecución ordenada en la sentencia.</w:t>
            </w:r>
            <w:r w:rsidR="00A87869">
              <w:rPr>
                <w:rFonts w:ascii="Arial" w:eastAsia="Calibri" w:hAnsi="Arial" w:cs="Arial"/>
                <w:bCs/>
                <w:sz w:val="24"/>
                <w:szCs w:val="24"/>
              </w:rPr>
              <w:t>’’</w:t>
            </w:r>
          </w:p>
          <w:p w:rsidR="004875BC" w:rsidRDefault="004875BC" w:rsidP="00BF400B">
            <w:pPr>
              <w:spacing w:after="200" w:line="276" w:lineRule="auto"/>
              <w:contextualSpacing/>
              <w:jc w:val="both"/>
              <w:rPr>
                <w:rFonts w:ascii="Arial" w:eastAsia="Calibri" w:hAnsi="Arial" w:cs="Arial"/>
                <w:bCs/>
                <w:sz w:val="24"/>
                <w:szCs w:val="24"/>
              </w:rPr>
            </w:pPr>
          </w:p>
          <w:p w:rsidR="004875BC" w:rsidRPr="00325E09" w:rsidRDefault="00325E09" w:rsidP="00BF400B">
            <w:pPr>
              <w:spacing w:after="200" w:line="276" w:lineRule="auto"/>
              <w:contextualSpacing/>
              <w:jc w:val="both"/>
              <w:rPr>
                <w:rFonts w:ascii="Arial" w:eastAsia="Calibri" w:hAnsi="Arial" w:cs="Arial"/>
                <w:bCs/>
                <w:i/>
                <w:sz w:val="24"/>
                <w:szCs w:val="24"/>
              </w:rPr>
            </w:pPr>
            <w:bookmarkStart w:id="9" w:name="30"/>
            <w:r w:rsidRPr="00325E09">
              <w:rPr>
                <w:rFonts w:ascii="Arial" w:eastAsia="Calibri" w:hAnsi="Arial" w:cs="Arial"/>
                <w:b/>
                <w:bCs/>
                <w:sz w:val="24"/>
                <w:szCs w:val="24"/>
              </w:rPr>
              <w:t xml:space="preserve">Artículo 30. </w:t>
            </w:r>
            <w:r w:rsidRPr="00325E09">
              <w:rPr>
                <w:rFonts w:ascii="Arial" w:eastAsia="Calibri" w:hAnsi="Arial" w:cs="Arial"/>
                <w:b/>
                <w:bCs/>
                <w:i/>
                <w:sz w:val="24"/>
                <w:szCs w:val="24"/>
              </w:rPr>
              <w:t>Competencia de la sala de casación civil de la corte suprema de justicia.</w:t>
            </w:r>
            <w:bookmarkEnd w:id="9"/>
            <w:r w:rsidRPr="00325E09">
              <w:rPr>
                <w:rFonts w:ascii="Arial" w:eastAsia="Calibri" w:hAnsi="Arial" w:cs="Arial"/>
                <w:bCs/>
                <w:i/>
                <w:sz w:val="24"/>
                <w:szCs w:val="24"/>
              </w:rPr>
              <w:t> </w:t>
            </w:r>
          </w:p>
          <w:p w:rsidR="00C21977" w:rsidRDefault="00C21977" w:rsidP="00513F52">
            <w:pPr>
              <w:spacing w:after="200" w:line="276" w:lineRule="auto"/>
              <w:contextualSpacing/>
              <w:jc w:val="both"/>
              <w:rPr>
                <w:rFonts w:ascii="Arial" w:eastAsia="Calibri" w:hAnsi="Arial" w:cs="Arial"/>
                <w:b/>
                <w:bCs/>
                <w:sz w:val="24"/>
                <w:szCs w:val="24"/>
              </w:rPr>
            </w:pPr>
          </w:p>
          <w:p w:rsidR="00E55CB2" w:rsidRPr="0031138F" w:rsidRDefault="00A95764" w:rsidP="00513F52">
            <w:pPr>
              <w:spacing w:after="200" w:line="276" w:lineRule="auto"/>
              <w:contextualSpacing/>
              <w:jc w:val="both"/>
              <w:rPr>
                <w:rFonts w:ascii="Arial" w:eastAsia="Calibri" w:hAnsi="Arial" w:cs="Arial"/>
                <w:sz w:val="24"/>
                <w:szCs w:val="24"/>
              </w:rPr>
            </w:pPr>
            <w:r w:rsidRPr="00A95764">
              <w:rPr>
                <w:rFonts w:ascii="Arial" w:eastAsia="Calibri" w:hAnsi="Arial" w:cs="Arial"/>
                <w:b/>
                <w:bCs/>
                <w:sz w:val="24"/>
                <w:szCs w:val="24"/>
              </w:rPr>
              <w:t>A</w:t>
            </w:r>
            <w:r>
              <w:rPr>
                <w:rFonts w:ascii="Arial" w:eastAsia="Calibri" w:hAnsi="Arial" w:cs="Arial"/>
                <w:b/>
                <w:bCs/>
                <w:sz w:val="24"/>
                <w:szCs w:val="24"/>
              </w:rPr>
              <w:t>rtículo</w:t>
            </w:r>
            <w:r w:rsidRPr="00A95764">
              <w:rPr>
                <w:rFonts w:ascii="Arial" w:eastAsia="Calibri" w:hAnsi="Arial" w:cs="Arial"/>
                <w:b/>
                <w:bCs/>
                <w:sz w:val="24"/>
                <w:szCs w:val="24"/>
              </w:rPr>
              <w:t xml:space="preserve"> 73. Derecho de </w:t>
            </w:r>
            <w:r>
              <w:rPr>
                <w:rFonts w:ascii="Arial" w:eastAsia="Calibri" w:hAnsi="Arial" w:cs="Arial"/>
                <w:b/>
                <w:bCs/>
                <w:sz w:val="24"/>
                <w:szCs w:val="24"/>
              </w:rPr>
              <w:t>P</w:t>
            </w:r>
            <w:r w:rsidRPr="00A95764">
              <w:rPr>
                <w:rFonts w:ascii="Arial" w:eastAsia="Calibri" w:hAnsi="Arial" w:cs="Arial"/>
                <w:b/>
                <w:bCs/>
                <w:sz w:val="24"/>
                <w:szCs w:val="24"/>
              </w:rPr>
              <w:t>ostulación.</w:t>
            </w:r>
            <w:bookmarkEnd w:id="1"/>
            <w:r w:rsidRPr="00A95764">
              <w:rPr>
                <w:rFonts w:ascii="Arial" w:eastAsia="Calibri" w:hAnsi="Arial" w:cs="Arial"/>
                <w:sz w:val="24"/>
                <w:szCs w:val="24"/>
              </w:rPr>
              <w:t> </w:t>
            </w:r>
            <w:r>
              <w:rPr>
                <w:rFonts w:ascii="Arial" w:eastAsia="Calibri" w:hAnsi="Arial" w:cs="Arial"/>
                <w:sz w:val="24"/>
                <w:szCs w:val="24"/>
              </w:rPr>
              <w:t>‘‘</w:t>
            </w:r>
            <w:r w:rsidRPr="00A95764">
              <w:rPr>
                <w:rFonts w:ascii="Arial" w:eastAsia="Calibri" w:hAnsi="Arial" w:cs="Arial"/>
                <w:i/>
                <w:sz w:val="24"/>
                <w:szCs w:val="24"/>
              </w:rPr>
              <w:t>Las personas que hayan de comparecer al proceso deberán hacerlo por conducto de abogado legalmente autorizado, excepto en los casos en que la ley permita su intervención directa.</w:t>
            </w:r>
            <w:r>
              <w:rPr>
                <w:rFonts w:ascii="Arial" w:eastAsia="Calibri" w:hAnsi="Arial" w:cs="Arial"/>
                <w:sz w:val="24"/>
                <w:szCs w:val="24"/>
              </w:rPr>
              <w:t>’’</w:t>
            </w:r>
          </w:p>
        </w:tc>
      </w:tr>
    </w:tbl>
    <w:p w:rsidR="00E55CB2" w:rsidRDefault="00E55CB2" w:rsidP="00E55CB2"/>
    <w:p w:rsidR="00E55CB2" w:rsidRDefault="00E55CB2" w:rsidP="00E55CB2">
      <w:pPr>
        <w:numPr>
          <w:ilvl w:val="0"/>
          <w:numId w:val="1"/>
        </w:numPr>
        <w:spacing w:after="200" w:line="276" w:lineRule="auto"/>
        <w:contextualSpacing/>
        <w:jc w:val="both"/>
        <w:rPr>
          <w:rFonts w:ascii="Arial" w:eastAsia="Arial" w:hAnsi="Arial" w:cs="Arial"/>
          <w:b/>
          <w:bCs/>
          <w:sz w:val="24"/>
          <w:szCs w:val="24"/>
        </w:rPr>
      </w:pPr>
      <w:r w:rsidRPr="00EA19D5">
        <w:rPr>
          <w:rFonts w:ascii="Arial" w:eastAsia="Arial" w:hAnsi="Arial" w:cs="Arial"/>
          <w:b/>
          <w:bCs/>
          <w:sz w:val="24"/>
          <w:szCs w:val="24"/>
        </w:rPr>
        <w:t>Cargos del accionante</w:t>
      </w:r>
    </w:p>
    <w:p w:rsidR="00E55CB2" w:rsidRDefault="00E55CB2" w:rsidP="00E55CB2">
      <w:pPr>
        <w:spacing w:after="200" w:line="276" w:lineRule="auto"/>
        <w:contextualSpacing/>
        <w:jc w:val="both"/>
        <w:rPr>
          <w:rFonts w:ascii="Arial" w:eastAsia="Arial" w:hAnsi="Arial" w:cs="Arial"/>
          <w:b/>
          <w:bCs/>
          <w:sz w:val="24"/>
          <w:szCs w:val="24"/>
        </w:rPr>
      </w:pPr>
    </w:p>
    <w:p w:rsidR="00E55CB2" w:rsidRDefault="00145959" w:rsidP="00E55CB2">
      <w:pPr>
        <w:spacing w:after="200" w:line="276" w:lineRule="auto"/>
        <w:contextualSpacing/>
        <w:jc w:val="both"/>
        <w:rPr>
          <w:rFonts w:ascii="Arial" w:eastAsia="Arial" w:hAnsi="Arial" w:cs="Arial"/>
          <w:bCs/>
          <w:sz w:val="24"/>
          <w:szCs w:val="24"/>
        </w:rPr>
      </w:pPr>
      <w:r>
        <w:rPr>
          <w:rFonts w:ascii="Arial" w:eastAsia="Arial" w:hAnsi="Arial" w:cs="Arial"/>
          <w:bCs/>
          <w:sz w:val="24"/>
          <w:szCs w:val="24"/>
        </w:rPr>
        <w:t xml:space="preserve">Los artículos demandados vulneran la Constitución Política pues coartan el derecho de decidir si acudir o no a un abogado en los casos de menor y mayor cuantía, lo cual no ocurre en los procesos de mínima siendo que </w:t>
      </w:r>
      <w:r w:rsidR="00454424">
        <w:rPr>
          <w:rFonts w:ascii="Arial" w:eastAsia="Arial" w:hAnsi="Arial" w:cs="Arial"/>
          <w:bCs/>
          <w:sz w:val="24"/>
          <w:szCs w:val="24"/>
        </w:rPr>
        <w:t xml:space="preserve">en estos </w:t>
      </w:r>
      <w:r>
        <w:rPr>
          <w:rFonts w:ascii="Arial" w:eastAsia="Arial" w:hAnsi="Arial" w:cs="Arial"/>
          <w:bCs/>
          <w:sz w:val="24"/>
          <w:szCs w:val="24"/>
        </w:rPr>
        <w:t>se aplican las mismas ritualidades procesales</w:t>
      </w:r>
      <w:r w:rsidR="00454424">
        <w:rPr>
          <w:rFonts w:ascii="Arial" w:eastAsia="Arial" w:hAnsi="Arial" w:cs="Arial"/>
          <w:bCs/>
          <w:sz w:val="24"/>
          <w:szCs w:val="24"/>
        </w:rPr>
        <w:t xml:space="preserve"> que en aquellos. </w:t>
      </w:r>
      <w:r w:rsidR="00122508">
        <w:rPr>
          <w:rFonts w:ascii="Arial" w:eastAsia="Arial" w:hAnsi="Arial" w:cs="Arial"/>
          <w:bCs/>
          <w:sz w:val="24"/>
          <w:szCs w:val="24"/>
        </w:rPr>
        <w:t xml:space="preserve">Así, sin existir motivo alguno para que los ciudadanos no puedan ejercer </w:t>
      </w:r>
      <w:r w:rsidR="00556272">
        <w:rPr>
          <w:rFonts w:ascii="Arial" w:eastAsia="Arial" w:hAnsi="Arial" w:cs="Arial"/>
          <w:bCs/>
          <w:sz w:val="24"/>
          <w:szCs w:val="24"/>
        </w:rPr>
        <w:t>el derecho de postulación en los procesos de menor y mayor cuantía</w:t>
      </w:r>
      <w:r w:rsidR="00396776">
        <w:rPr>
          <w:rFonts w:ascii="Arial" w:eastAsia="Arial" w:hAnsi="Arial" w:cs="Arial"/>
          <w:bCs/>
          <w:sz w:val="24"/>
          <w:szCs w:val="24"/>
        </w:rPr>
        <w:t>, mientras que en los de mínima sí</w:t>
      </w:r>
      <w:r w:rsidR="00556272">
        <w:rPr>
          <w:rFonts w:ascii="Arial" w:eastAsia="Arial" w:hAnsi="Arial" w:cs="Arial"/>
          <w:bCs/>
          <w:sz w:val="24"/>
          <w:szCs w:val="24"/>
        </w:rPr>
        <w:t xml:space="preserve">, la ley, en contravía del derecho a la igualdad consagrado en el artículo 13 de la Constitución, termina realizando una diferenciación </w:t>
      </w:r>
      <w:r w:rsidR="00225B2F">
        <w:rPr>
          <w:rFonts w:ascii="Arial" w:eastAsia="Arial" w:hAnsi="Arial" w:cs="Arial"/>
          <w:bCs/>
          <w:sz w:val="24"/>
          <w:szCs w:val="24"/>
        </w:rPr>
        <w:t xml:space="preserve">entre iguales </w:t>
      </w:r>
      <w:r w:rsidR="00556272">
        <w:rPr>
          <w:rFonts w:ascii="Arial" w:eastAsia="Arial" w:hAnsi="Arial" w:cs="Arial"/>
          <w:bCs/>
          <w:sz w:val="24"/>
          <w:szCs w:val="24"/>
        </w:rPr>
        <w:t xml:space="preserve">sin fundamentos. </w:t>
      </w:r>
    </w:p>
    <w:p w:rsidR="00556272" w:rsidRPr="00EA19D5" w:rsidRDefault="00556272" w:rsidP="00E55CB2">
      <w:pPr>
        <w:spacing w:after="200" w:line="276" w:lineRule="auto"/>
        <w:contextualSpacing/>
        <w:jc w:val="both"/>
        <w:rPr>
          <w:rFonts w:ascii="Arial" w:eastAsia="Arial" w:hAnsi="Arial" w:cs="Arial"/>
          <w:b/>
          <w:bCs/>
          <w:sz w:val="24"/>
          <w:szCs w:val="24"/>
        </w:rPr>
      </w:pPr>
    </w:p>
    <w:p w:rsidR="00E55CB2" w:rsidRDefault="00E55CB2" w:rsidP="00E55CB2">
      <w:pPr>
        <w:numPr>
          <w:ilvl w:val="0"/>
          <w:numId w:val="1"/>
        </w:numPr>
        <w:spacing w:after="200" w:line="276" w:lineRule="auto"/>
        <w:contextualSpacing/>
        <w:jc w:val="both"/>
        <w:rPr>
          <w:rFonts w:ascii="Arial" w:eastAsia="Arial" w:hAnsi="Arial" w:cs="Arial"/>
          <w:b/>
          <w:bCs/>
          <w:sz w:val="24"/>
          <w:szCs w:val="24"/>
        </w:rPr>
      </w:pPr>
      <w:r w:rsidRPr="00EA19D5">
        <w:rPr>
          <w:rFonts w:ascii="Arial" w:eastAsia="Arial" w:hAnsi="Arial" w:cs="Arial"/>
          <w:b/>
          <w:bCs/>
          <w:sz w:val="24"/>
          <w:szCs w:val="24"/>
        </w:rPr>
        <w:t>Actuación</w:t>
      </w:r>
    </w:p>
    <w:p w:rsidR="00E55CB2" w:rsidRPr="00EA19D5" w:rsidRDefault="00E55CB2" w:rsidP="00E55CB2">
      <w:pPr>
        <w:spacing w:after="200" w:line="276" w:lineRule="auto"/>
        <w:ind w:left="1080"/>
        <w:contextualSpacing/>
        <w:jc w:val="both"/>
        <w:rPr>
          <w:rFonts w:ascii="Arial" w:eastAsia="Arial" w:hAnsi="Arial" w:cs="Arial"/>
          <w:b/>
          <w:bCs/>
          <w:sz w:val="24"/>
          <w:szCs w:val="24"/>
        </w:rPr>
      </w:pPr>
    </w:p>
    <w:p w:rsidR="00E55CB2" w:rsidRPr="00786567" w:rsidRDefault="003E7111" w:rsidP="00E55CB2">
      <w:pPr>
        <w:spacing w:after="200" w:line="276" w:lineRule="auto"/>
        <w:jc w:val="both"/>
        <w:rPr>
          <w:rFonts w:ascii="Arial" w:eastAsia="Calibri" w:hAnsi="Arial" w:cs="Arial"/>
          <w:sz w:val="24"/>
          <w:szCs w:val="24"/>
          <w:lang w:val="es-ES"/>
        </w:rPr>
      </w:pPr>
      <w:r>
        <w:rPr>
          <w:rFonts w:ascii="Arial" w:eastAsia="Calibri" w:hAnsi="Arial" w:cs="Arial"/>
          <w:sz w:val="24"/>
          <w:szCs w:val="24"/>
          <w:lang w:val="es-ES"/>
        </w:rPr>
        <w:t>La demanda fue rechazada mediante auto del 25 de noviembre de 2014</w:t>
      </w:r>
      <w:bookmarkStart w:id="10" w:name="_GoBack"/>
      <w:bookmarkEnd w:id="10"/>
      <w:r w:rsidR="00E55CB2" w:rsidRPr="00786567">
        <w:rPr>
          <w:rFonts w:ascii="Arial" w:eastAsia="Calibri" w:hAnsi="Arial" w:cs="Arial"/>
          <w:sz w:val="24"/>
          <w:szCs w:val="24"/>
          <w:lang w:val="es-ES"/>
        </w:rPr>
        <w:t xml:space="preserve">. </w:t>
      </w:r>
    </w:p>
    <w:p w:rsidR="00E55CB2" w:rsidRPr="00EA19D5" w:rsidRDefault="00E55CB2" w:rsidP="00E55CB2">
      <w:pPr>
        <w:spacing w:after="200" w:line="276" w:lineRule="auto"/>
        <w:rPr>
          <w:rFonts w:ascii="Calibri" w:eastAsia="Calibri" w:hAnsi="Calibri" w:cs="Times New Roman"/>
          <w:lang w:val="es-ES"/>
        </w:rPr>
      </w:pPr>
    </w:p>
    <w:p w:rsidR="00E55CB2" w:rsidRDefault="00E55CB2" w:rsidP="00E55CB2"/>
    <w:p w:rsidR="000346D6" w:rsidRDefault="000346D6"/>
    <w:p w:rsidR="000346D6" w:rsidRDefault="000346D6" w:rsidP="000346D6"/>
    <w:p w:rsidR="00F65C31" w:rsidRPr="000346D6" w:rsidRDefault="000346D6" w:rsidP="000346D6">
      <w:pPr>
        <w:tabs>
          <w:tab w:val="left" w:pos="3690"/>
        </w:tabs>
      </w:pPr>
      <w:r>
        <w:tab/>
      </w:r>
      <w:bookmarkEnd w:id="0"/>
    </w:p>
    <w:sectPr w:rsidR="00F65C31" w:rsidRPr="000346D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E5E" w:rsidRDefault="00D51E5E" w:rsidP="00E55CB2">
      <w:pPr>
        <w:spacing w:after="0" w:line="240" w:lineRule="auto"/>
      </w:pPr>
      <w:r>
        <w:separator/>
      </w:r>
    </w:p>
  </w:endnote>
  <w:endnote w:type="continuationSeparator" w:id="0">
    <w:p w:rsidR="00D51E5E" w:rsidRDefault="00D51E5E" w:rsidP="00E5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E5E" w:rsidRDefault="00D51E5E" w:rsidP="00E55CB2">
      <w:pPr>
        <w:spacing w:after="0" w:line="240" w:lineRule="auto"/>
      </w:pPr>
      <w:r>
        <w:separator/>
      </w:r>
    </w:p>
  </w:footnote>
  <w:footnote w:type="continuationSeparator" w:id="0">
    <w:p w:rsidR="00D51E5E" w:rsidRDefault="00D51E5E" w:rsidP="00E5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CAE" w:rsidRDefault="0024062C">
    <w:pPr>
      <w:pStyle w:val="Encabezado"/>
    </w:pPr>
    <w:r>
      <w:t>EXP. D-1</w:t>
    </w:r>
    <w:r w:rsidR="00E55CB2">
      <w:t>0471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445C9"/>
    <w:multiLevelType w:val="hybridMultilevel"/>
    <w:tmpl w:val="3DA8ADBA"/>
    <w:lvl w:ilvl="0" w:tplc="33989C5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B2"/>
    <w:rsid w:val="000346D6"/>
    <w:rsid w:val="000B0387"/>
    <w:rsid w:val="00122508"/>
    <w:rsid w:val="00145959"/>
    <w:rsid w:val="00225B2F"/>
    <w:rsid w:val="0024062C"/>
    <w:rsid w:val="00260EA3"/>
    <w:rsid w:val="00325E09"/>
    <w:rsid w:val="00396776"/>
    <w:rsid w:val="003D3521"/>
    <w:rsid w:val="003E7111"/>
    <w:rsid w:val="00427869"/>
    <w:rsid w:val="00454424"/>
    <w:rsid w:val="004875BC"/>
    <w:rsid w:val="004C49AE"/>
    <w:rsid w:val="004C5339"/>
    <w:rsid w:val="004E4E03"/>
    <w:rsid w:val="004F6B17"/>
    <w:rsid w:val="00556272"/>
    <w:rsid w:val="00580DA5"/>
    <w:rsid w:val="005F0B30"/>
    <w:rsid w:val="005F1EBC"/>
    <w:rsid w:val="006F7DFC"/>
    <w:rsid w:val="007D7599"/>
    <w:rsid w:val="007E2DCC"/>
    <w:rsid w:val="00893BBE"/>
    <w:rsid w:val="009B796F"/>
    <w:rsid w:val="00A665AC"/>
    <w:rsid w:val="00A87869"/>
    <w:rsid w:val="00A95764"/>
    <w:rsid w:val="00AF2E01"/>
    <w:rsid w:val="00B25CA6"/>
    <w:rsid w:val="00B802F9"/>
    <w:rsid w:val="00BC7AE6"/>
    <w:rsid w:val="00BF400B"/>
    <w:rsid w:val="00BF4DF2"/>
    <w:rsid w:val="00C21977"/>
    <w:rsid w:val="00C96ED3"/>
    <w:rsid w:val="00D51E5E"/>
    <w:rsid w:val="00DA487F"/>
    <w:rsid w:val="00DD10E5"/>
    <w:rsid w:val="00E27C1C"/>
    <w:rsid w:val="00E55CB2"/>
    <w:rsid w:val="00E7737C"/>
    <w:rsid w:val="00F65C31"/>
    <w:rsid w:val="00F862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5D82"/>
  <w15:chartTrackingRefBased/>
  <w15:docId w15:val="{0E7AF945-0499-4576-B7DD-9AECBBF6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CB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5C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5CB2"/>
  </w:style>
  <w:style w:type="paragraph" w:styleId="Piedepgina">
    <w:name w:val="footer"/>
    <w:basedOn w:val="Normal"/>
    <w:link w:val="PiedepginaCar"/>
    <w:uiPriority w:val="99"/>
    <w:unhideWhenUsed/>
    <w:rsid w:val="00E55C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5CB2"/>
  </w:style>
  <w:style w:type="paragraph" w:styleId="Prrafodelista">
    <w:name w:val="List Paragraph"/>
    <w:basedOn w:val="Normal"/>
    <w:uiPriority w:val="34"/>
    <w:qFormat/>
    <w:rsid w:val="00DD10E5"/>
    <w:pPr>
      <w:ind w:left="720"/>
      <w:contextualSpacing/>
    </w:pPr>
  </w:style>
  <w:style w:type="character" w:styleId="Hipervnculo">
    <w:name w:val="Hyperlink"/>
    <w:basedOn w:val="Fuentedeprrafopredeter"/>
    <w:uiPriority w:val="99"/>
    <w:unhideWhenUsed/>
    <w:rsid w:val="00580DA5"/>
    <w:rPr>
      <w:color w:val="0563C1" w:themeColor="hyperlink"/>
      <w:u w:val="single"/>
    </w:rPr>
  </w:style>
  <w:style w:type="character" w:styleId="Mencinsinresolver">
    <w:name w:val="Unresolved Mention"/>
    <w:basedOn w:val="Fuentedeprrafopredeter"/>
    <w:uiPriority w:val="99"/>
    <w:semiHidden/>
    <w:unhideWhenUsed/>
    <w:rsid w:val="00580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443835">
      <w:bodyDiv w:val="1"/>
      <w:marLeft w:val="0"/>
      <w:marRight w:val="0"/>
      <w:marTop w:val="0"/>
      <w:marBottom w:val="0"/>
      <w:divBdr>
        <w:top w:val="none" w:sz="0" w:space="0" w:color="auto"/>
        <w:left w:val="none" w:sz="0" w:space="0" w:color="auto"/>
        <w:bottom w:val="none" w:sz="0" w:space="0" w:color="auto"/>
        <w:right w:val="none" w:sz="0" w:space="0" w:color="auto"/>
      </w:divBdr>
    </w:div>
    <w:div w:id="986279493">
      <w:bodyDiv w:val="1"/>
      <w:marLeft w:val="0"/>
      <w:marRight w:val="0"/>
      <w:marTop w:val="0"/>
      <w:marBottom w:val="0"/>
      <w:divBdr>
        <w:top w:val="none" w:sz="0" w:space="0" w:color="auto"/>
        <w:left w:val="none" w:sz="0" w:space="0" w:color="auto"/>
        <w:bottom w:val="none" w:sz="0" w:space="0" w:color="auto"/>
        <w:right w:val="none" w:sz="0" w:space="0" w:color="auto"/>
      </w:divBdr>
    </w:div>
    <w:div w:id="1053886233">
      <w:bodyDiv w:val="1"/>
      <w:marLeft w:val="0"/>
      <w:marRight w:val="0"/>
      <w:marTop w:val="0"/>
      <w:marBottom w:val="0"/>
      <w:divBdr>
        <w:top w:val="none" w:sz="0" w:space="0" w:color="auto"/>
        <w:left w:val="none" w:sz="0" w:space="0" w:color="auto"/>
        <w:bottom w:val="none" w:sz="0" w:space="0" w:color="auto"/>
        <w:right w:val="none" w:sz="0" w:space="0" w:color="auto"/>
      </w:divBdr>
    </w:div>
    <w:div w:id="1279802563">
      <w:bodyDiv w:val="1"/>
      <w:marLeft w:val="0"/>
      <w:marRight w:val="0"/>
      <w:marTop w:val="0"/>
      <w:marBottom w:val="0"/>
      <w:divBdr>
        <w:top w:val="none" w:sz="0" w:space="0" w:color="auto"/>
        <w:left w:val="none" w:sz="0" w:space="0" w:color="auto"/>
        <w:bottom w:val="none" w:sz="0" w:space="0" w:color="auto"/>
        <w:right w:val="none" w:sz="0" w:space="0" w:color="auto"/>
      </w:divBdr>
    </w:div>
    <w:div w:id="1528761775">
      <w:bodyDiv w:val="1"/>
      <w:marLeft w:val="0"/>
      <w:marRight w:val="0"/>
      <w:marTop w:val="0"/>
      <w:marBottom w:val="0"/>
      <w:divBdr>
        <w:top w:val="none" w:sz="0" w:space="0" w:color="auto"/>
        <w:left w:val="none" w:sz="0" w:space="0" w:color="auto"/>
        <w:bottom w:val="none" w:sz="0" w:space="0" w:color="auto"/>
        <w:right w:val="none" w:sz="0" w:space="0" w:color="auto"/>
      </w:divBdr>
    </w:div>
    <w:div w:id="1826504461">
      <w:bodyDiv w:val="1"/>
      <w:marLeft w:val="0"/>
      <w:marRight w:val="0"/>
      <w:marTop w:val="0"/>
      <w:marBottom w:val="0"/>
      <w:divBdr>
        <w:top w:val="none" w:sz="0" w:space="0" w:color="auto"/>
        <w:left w:val="none" w:sz="0" w:space="0" w:color="auto"/>
        <w:bottom w:val="none" w:sz="0" w:space="0" w:color="auto"/>
        <w:right w:val="none" w:sz="0" w:space="0" w:color="auto"/>
      </w:divBdr>
    </w:div>
    <w:div w:id="20121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1130</Words>
  <Characters>6217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ISABEL ROBLES USTARIZ</dc:creator>
  <cp:keywords/>
  <dc:description/>
  <cp:lastModifiedBy>MARTHA ISABEL ROBLES USTARIZ</cp:lastModifiedBy>
  <cp:revision>44</cp:revision>
  <dcterms:created xsi:type="dcterms:W3CDTF">2019-02-08T00:10:00Z</dcterms:created>
  <dcterms:modified xsi:type="dcterms:W3CDTF">2019-02-08T04:03:00Z</dcterms:modified>
</cp:coreProperties>
</file>