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84"/>
        <w:gridCol w:w="7271"/>
      </w:tblGrid>
      <w:tr w:rsidR="0005339B" w:rsidTr="00081005">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39B" w:rsidRDefault="0005339B" w:rsidP="00081005">
            <w:pPr>
              <w:spacing w:after="0" w:line="240" w:lineRule="auto"/>
              <w:jc w:val="both"/>
              <w:rPr>
                <w:rFonts w:ascii="Arial" w:hAnsi="Arial" w:cs="Arial"/>
                <w:sz w:val="24"/>
                <w:szCs w:val="24"/>
                <w:lang w:val="es-CO"/>
              </w:rPr>
            </w:pPr>
            <w:r>
              <w:rPr>
                <w:rFonts w:ascii="Arial" w:eastAsia="Arial" w:hAnsi="Arial" w:cs="Arial"/>
                <w:sz w:val="24"/>
                <w:szCs w:val="24"/>
                <w:lang w:val="es-CO"/>
              </w:rPr>
              <w:t>Número de expediente</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39B" w:rsidRDefault="0005339B" w:rsidP="00081005">
            <w:pPr>
              <w:spacing w:after="0" w:line="240" w:lineRule="auto"/>
              <w:jc w:val="both"/>
              <w:rPr>
                <w:rFonts w:ascii="Arial" w:hAnsi="Arial" w:cs="Arial"/>
                <w:sz w:val="24"/>
                <w:szCs w:val="24"/>
                <w:lang w:val="es-CO"/>
              </w:rPr>
            </w:pPr>
            <w:r>
              <w:rPr>
                <w:rFonts w:ascii="Arial" w:eastAsia="Arial" w:hAnsi="Arial" w:cs="Arial"/>
                <w:sz w:val="24"/>
                <w:szCs w:val="24"/>
                <w:lang w:val="es-CO"/>
              </w:rPr>
              <w:t>D-11508</w:t>
            </w:r>
          </w:p>
        </w:tc>
      </w:tr>
      <w:tr w:rsidR="0005339B" w:rsidTr="00081005">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39B" w:rsidRDefault="0005339B" w:rsidP="00081005">
            <w:pPr>
              <w:spacing w:after="0" w:line="240" w:lineRule="auto"/>
              <w:jc w:val="both"/>
              <w:rPr>
                <w:rFonts w:ascii="Arial" w:hAnsi="Arial" w:cs="Arial"/>
                <w:sz w:val="24"/>
                <w:szCs w:val="24"/>
                <w:lang w:val="es-CO"/>
              </w:rPr>
            </w:pPr>
            <w:r>
              <w:rPr>
                <w:rFonts w:ascii="Arial" w:eastAsia="Arial" w:hAnsi="Arial" w:cs="Arial"/>
                <w:sz w:val="24"/>
                <w:szCs w:val="24"/>
                <w:lang w:val="es-CO"/>
              </w:rPr>
              <w:t>Magistrado Ponente</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39B" w:rsidRDefault="00BC253F" w:rsidP="00081005">
            <w:pPr>
              <w:spacing w:after="0" w:line="240" w:lineRule="auto"/>
              <w:jc w:val="both"/>
              <w:rPr>
                <w:rFonts w:ascii="Arial" w:hAnsi="Arial" w:cs="Arial"/>
                <w:sz w:val="24"/>
                <w:szCs w:val="24"/>
                <w:lang w:val="es-CO"/>
              </w:rPr>
            </w:pPr>
            <w:r>
              <w:rPr>
                <w:rFonts w:ascii="Arial" w:hAnsi="Arial" w:cs="Arial"/>
                <w:sz w:val="24"/>
                <w:szCs w:val="24"/>
                <w:lang w:val="es-CO"/>
              </w:rPr>
              <w:t xml:space="preserve">Gloria Stella Ortiz Delgado </w:t>
            </w:r>
          </w:p>
        </w:tc>
      </w:tr>
      <w:tr w:rsidR="0005339B" w:rsidTr="00081005">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39B" w:rsidRDefault="0005339B" w:rsidP="00081005">
            <w:pPr>
              <w:spacing w:after="0" w:line="240" w:lineRule="auto"/>
              <w:jc w:val="both"/>
              <w:rPr>
                <w:rFonts w:ascii="Arial" w:hAnsi="Arial" w:cs="Arial"/>
                <w:sz w:val="24"/>
                <w:szCs w:val="24"/>
                <w:lang w:val="es-CO"/>
              </w:rPr>
            </w:pPr>
            <w:r>
              <w:rPr>
                <w:rFonts w:ascii="Arial" w:eastAsia="Arial" w:hAnsi="Arial" w:cs="Arial"/>
                <w:sz w:val="24"/>
                <w:szCs w:val="24"/>
                <w:lang w:val="es-CO"/>
              </w:rPr>
              <w:t>Fecha</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39B" w:rsidRDefault="00BC253F" w:rsidP="00081005">
            <w:pPr>
              <w:spacing w:after="0" w:line="240" w:lineRule="auto"/>
              <w:jc w:val="both"/>
              <w:rPr>
                <w:rFonts w:ascii="Arial" w:hAnsi="Arial" w:cs="Arial"/>
                <w:sz w:val="24"/>
                <w:szCs w:val="24"/>
                <w:lang w:val="es-CO"/>
              </w:rPr>
            </w:pPr>
            <w:r>
              <w:rPr>
                <w:rFonts w:ascii="Arial" w:hAnsi="Arial" w:cs="Arial"/>
                <w:sz w:val="24"/>
                <w:szCs w:val="24"/>
                <w:lang w:val="es-CO"/>
              </w:rPr>
              <w:t>14 de junio de 2016</w:t>
            </w:r>
          </w:p>
        </w:tc>
      </w:tr>
      <w:tr w:rsidR="0005339B" w:rsidTr="00081005">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39B" w:rsidRDefault="0005339B" w:rsidP="00081005">
            <w:pPr>
              <w:spacing w:after="0" w:line="240" w:lineRule="auto"/>
              <w:jc w:val="both"/>
              <w:rPr>
                <w:rFonts w:ascii="Arial" w:hAnsi="Arial" w:cs="Arial"/>
                <w:sz w:val="24"/>
                <w:szCs w:val="24"/>
                <w:lang w:val="es-CO"/>
              </w:rPr>
            </w:pPr>
            <w:r>
              <w:rPr>
                <w:rFonts w:ascii="Arial" w:eastAsia="Arial" w:hAnsi="Arial" w:cs="Arial"/>
                <w:sz w:val="24"/>
                <w:szCs w:val="24"/>
                <w:lang w:val="es-CO"/>
              </w:rPr>
              <w:t>Tema</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39B" w:rsidRDefault="00BC253F" w:rsidP="00081005">
            <w:pPr>
              <w:spacing w:after="0" w:line="240" w:lineRule="auto"/>
              <w:jc w:val="both"/>
              <w:rPr>
                <w:rFonts w:ascii="Arial" w:hAnsi="Arial" w:cs="Arial"/>
                <w:sz w:val="24"/>
                <w:szCs w:val="24"/>
                <w:lang w:val="es-CO"/>
              </w:rPr>
            </w:pPr>
            <w:r>
              <w:rPr>
                <w:rFonts w:ascii="Arial" w:hAnsi="Arial" w:cs="Arial"/>
                <w:sz w:val="24"/>
                <w:szCs w:val="24"/>
                <w:lang w:val="es-CO"/>
              </w:rPr>
              <w:t xml:space="preserve">Principios </w:t>
            </w:r>
            <w:r w:rsidR="00BD5202">
              <w:rPr>
                <w:rFonts w:ascii="Arial" w:hAnsi="Arial" w:cs="Arial"/>
                <w:sz w:val="24"/>
                <w:szCs w:val="24"/>
                <w:lang w:val="es-CO"/>
              </w:rPr>
              <w:t xml:space="preserve">constitucionales. Omisión legislativa. </w:t>
            </w:r>
            <w:bookmarkStart w:id="0" w:name="_GoBack"/>
            <w:bookmarkEnd w:id="0"/>
          </w:p>
        </w:tc>
      </w:tr>
      <w:tr w:rsidR="0005339B" w:rsidTr="00081005">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39B" w:rsidRDefault="0005339B" w:rsidP="00081005">
            <w:pPr>
              <w:spacing w:after="0" w:line="240" w:lineRule="auto"/>
              <w:jc w:val="both"/>
              <w:rPr>
                <w:rFonts w:ascii="Arial" w:hAnsi="Arial" w:cs="Arial"/>
                <w:sz w:val="24"/>
                <w:szCs w:val="24"/>
                <w:lang w:val="es-CO"/>
              </w:rPr>
            </w:pPr>
            <w:r>
              <w:rPr>
                <w:rFonts w:ascii="Arial" w:eastAsia="Arial" w:hAnsi="Arial" w:cs="Arial"/>
                <w:sz w:val="24"/>
                <w:szCs w:val="24"/>
                <w:lang w:val="es-CO"/>
              </w:rPr>
              <w:t>Norma demandada</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39B" w:rsidRPr="0005339B" w:rsidRDefault="0005339B" w:rsidP="0005339B">
            <w:pPr>
              <w:jc w:val="both"/>
              <w:rPr>
                <w:rFonts w:ascii="Arial" w:hAnsi="Arial" w:cs="Arial"/>
                <w:i/>
                <w:sz w:val="24"/>
                <w:szCs w:val="24"/>
                <w:lang w:val="es-CO"/>
              </w:rPr>
            </w:pPr>
            <w:r w:rsidRPr="0005339B">
              <w:rPr>
                <w:rFonts w:ascii="Arial" w:hAnsi="Arial" w:cs="Arial"/>
                <w:b/>
                <w:bCs/>
                <w:sz w:val="24"/>
                <w:szCs w:val="24"/>
                <w:lang w:val="es-CO"/>
              </w:rPr>
              <w:t>Artículo 7°. </w:t>
            </w:r>
            <w:r w:rsidRPr="0005339B">
              <w:rPr>
                <w:rFonts w:ascii="Arial" w:hAnsi="Arial" w:cs="Arial"/>
                <w:b/>
                <w:bCs/>
                <w:iCs/>
                <w:sz w:val="24"/>
                <w:szCs w:val="24"/>
                <w:lang w:val="es-CO"/>
              </w:rPr>
              <w:t>Legalidad</w:t>
            </w:r>
            <w:r w:rsidRPr="0005339B">
              <w:rPr>
                <w:rFonts w:ascii="Arial" w:hAnsi="Arial" w:cs="Arial"/>
                <w:b/>
                <w:bCs/>
                <w:sz w:val="24"/>
                <w:szCs w:val="24"/>
                <w:lang w:val="es-CO"/>
              </w:rPr>
              <w:t>. </w:t>
            </w:r>
            <w:r w:rsidRPr="0005339B">
              <w:rPr>
                <w:rFonts w:ascii="Arial" w:hAnsi="Arial" w:cs="Arial"/>
                <w:i/>
                <w:sz w:val="24"/>
                <w:szCs w:val="24"/>
                <w:lang w:val="es-CO"/>
              </w:rPr>
              <w:t>Los jueces, en sus providencias, están sometidos al imperio de la ley. Deberán tener en cuenta, además, la equidad, la costumbre, la jurisprudencia y la doctrina.</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Cuando el juez se aparte de la doctrina probable, estará obligado a exponer clara y razonadamente los fundamentos jurídicos que justifican su decisión. De la misma manera procederá cuando cambie de criterio en relación con sus decisiones en casos análogos.</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El proceso deberá adelantarse en la forma establecida en la ley.</w:t>
            </w:r>
          </w:p>
          <w:p w:rsidR="0005339B" w:rsidRPr="0005339B" w:rsidRDefault="0005339B" w:rsidP="0005339B">
            <w:pPr>
              <w:jc w:val="both"/>
              <w:rPr>
                <w:rFonts w:ascii="Arial" w:hAnsi="Arial" w:cs="Arial"/>
                <w:i/>
                <w:sz w:val="24"/>
                <w:szCs w:val="24"/>
                <w:lang w:val="es-CO"/>
              </w:rPr>
            </w:pPr>
            <w:r w:rsidRPr="0005339B">
              <w:rPr>
                <w:rFonts w:ascii="Arial" w:hAnsi="Arial" w:cs="Arial"/>
                <w:b/>
                <w:bCs/>
                <w:sz w:val="24"/>
                <w:szCs w:val="24"/>
                <w:lang w:val="es-CO"/>
              </w:rPr>
              <w:t>Artículo 278. </w:t>
            </w:r>
            <w:r w:rsidRPr="0005339B">
              <w:rPr>
                <w:rFonts w:ascii="Arial" w:hAnsi="Arial" w:cs="Arial"/>
                <w:b/>
                <w:bCs/>
                <w:iCs/>
                <w:sz w:val="24"/>
                <w:szCs w:val="24"/>
                <w:lang w:val="es-CO"/>
              </w:rPr>
              <w:t>Clases de providencias.</w:t>
            </w:r>
            <w:r w:rsidRPr="0005339B">
              <w:rPr>
                <w:rFonts w:ascii="Arial" w:hAnsi="Arial" w:cs="Arial"/>
                <w:b/>
                <w:bCs/>
                <w:i/>
                <w:iCs/>
                <w:sz w:val="24"/>
                <w:szCs w:val="24"/>
                <w:lang w:val="es-CO"/>
              </w:rPr>
              <w:t> </w:t>
            </w:r>
            <w:r w:rsidRPr="0005339B">
              <w:rPr>
                <w:rFonts w:ascii="Arial" w:hAnsi="Arial" w:cs="Arial"/>
                <w:i/>
                <w:sz w:val="24"/>
                <w:szCs w:val="24"/>
                <w:lang w:val="es-CO"/>
              </w:rPr>
              <w:t>Las providencias del juez pueden ser autos o sentencias.</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Son sentencias las que deciden sobre las pretensiones de la demanda, las excepciones de mérito, cualquiera que fuere la instancia en que se pronuncien, las que deciden el incidente de liquidación de perjuicios, y las que resuelven los recursos de casación y revisión. Son autos todas las demás providencias.</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En cualquier estado del proceso, el juez deberá dictar sentencia anticipada, total o parcial, en los siguientes eventos:</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1. Cuando las partes o sus apoderados de común acuerdo lo soliciten, sea por iniciativa propia o por sugerencia del juez.</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2. Cuando no hubiere pruebas por practicar.</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3. Cuando se encuentre probada la cosa juzgada, la transacción, la caducidad, la prescripción extintiva y la carencia de legitimación en la causa.</w:t>
            </w:r>
          </w:p>
          <w:p w:rsidR="0005339B" w:rsidRPr="0005339B" w:rsidRDefault="0005339B" w:rsidP="0005339B">
            <w:pPr>
              <w:jc w:val="both"/>
              <w:rPr>
                <w:rFonts w:ascii="Arial" w:hAnsi="Arial" w:cs="Arial"/>
                <w:sz w:val="24"/>
                <w:szCs w:val="24"/>
                <w:lang w:val="es-CO"/>
              </w:rPr>
            </w:pPr>
            <w:r w:rsidRPr="0005339B">
              <w:rPr>
                <w:rFonts w:ascii="Arial" w:hAnsi="Arial" w:cs="Arial"/>
                <w:b/>
                <w:bCs/>
                <w:sz w:val="24"/>
                <w:szCs w:val="24"/>
                <w:lang w:val="es-CO"/>
              </w:rPr>
              <w:t>Artículo</w:t>
            </w:r>
            <w:r w:rsidRPr="0005339B">
              <w:rPr>
                <w:rFonts w:ascii="Arial" w:hAnsi="Arial" w:cs="Arial"/>
                <w:sz w:val="24"/>
                <w:szCs w:val="24"/>
                <w:lang w:val="es-CO"/>
              </w:rPr>
              <w:t> </w:t>
            </w:r>
            <w:r w:rsidRPr="0005339B">
              <w:rPr>
                <w:rFonts w:ascii="Arial" w:hAnsi="Arial" w:cs="Arial"/>
                <w:b/>
                <w:bCs/>
                <w:sz w:val="24"/>
                <w:szCs w:val="24"/>
                <w:lang w:val="es-CO"/>
              </w:rPr>
              <w:t>280. </w:t>
            </w:r>
            <w:r w:rsidRPr="0005339B">
              <w:rPr>
                <w:rFonts w:ascii="Arial" w:hAnsi="Arial" w:cs="Arial"/>
                <w:b/>
                <w:bCs/>
                <w:iCs/>
                <w:sz w:val="24"/>
                <w:szCs w:val="24"/>
                <w:lang w:val="es-CO"/>
              </w:rPr>
              <w:t>Contenido de la sentencia.</w:t>
            </w:r>
            <w:r w:rsidRPr="0005339B">
              <w:rPr>
                <w:rFonts w:ascii="Arial" w:hAnsi="Arial" w:cs="Arial"/>
                <w:b/>
                <w:bCs/>
                <w:i/>
                <w:iCs/>
                <w:sz w:val="24"/>
                <w:szCs w:val="24"/>
                <w:lang w:val="es-CO"/>
              </w:rPr>
              <w:t> </w:t>
            </w:r>
            <w:r w:rsidRPr="0005339B">
              <w:rPr>
                <w:rFonts w:ascii="Arial" w:hAnsi="Arial" w:cs="Arial"/>
                <w:i/>
                <w:sz w:val="24"/>
                <w:szCs w:val="24"/>
                <w:lang w:val="es-CO"/>
              </w:rPr>
              <w:t xml:space="preserve">La motivación de la sentencia deberá limitarse al examen crítico de las pruebas con explicación razonada de las conclusiones sobre ellas, y a los razonamientos constitucionales, legales, de equidad y doctrinarios estrictamente necesarios para fundamentar las conclusiones, </w:t>
            </w:r>
            <w:r w:rsidRPr="0005339B">
              <w:rPr>
                <w:rFonts w:ascii="Arial" w:hAnsi="Arial" w:cs="Arial"/>
                <w:i/>
                <w:sz w:val="24"/>
                <w:szCs w:val="24"/>
                <w:lang w:val="es-CO"/>
              </w:rPr>
              <w:lastRenderedPageBreak/>
              <w:t>exponiéndolos con brevedad y precisión, con indicación de las disposiciones aplicadas. El juez siempre deberá calificar la conducta procesal de las partes y, de ser el caso, deducir indicios de ella.</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La parte resolutiva se proferirá bajo la fórmula "administrando justicia en nombre de la República de Colombia y por autoridad de la ley"; deberá contener decisión expresa y clara sobre cada una de las pretensiones de la demanda, las excepciones, cuando proceda resolver sobre ellas, las costas y perjuicios a cargo de las partes y sus apoderados, y demás asuntos que corresponda decidir con arreglo a lo dispuesto en este código.</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Cuando la sentencia sea escrita, deberá hacerse una síntesis de la demanda y su contestación.</w:t>
            </w:r>
          </w:p>
          <w:p w:rsidR="0005339B" w:rsidRPr="0005339B" w:rsidRDefault="0005339B" w:rsidP="0005339B">
            <w:pPr>
              <w:jc w:val="both"/>
              <w:rPr>
                <w:rFonts w:ascii="Arial" w:hAnsi="Arial" w:cs="Arial"/>
                <w:i/>
                <w:sz w:val="24"/>
                <w:szCs w:val="24"/>
                <w:lang w:val="es-CO"/>
              </w:rPr>
            </w:pPr>
            <w:r w:rsidRPr="0005339B">
              <w:rPr>
                <w:rFonts w:ascii="Arial" w:hAnsi="Arial" w:cs="Arial"/>
                <w:b/>
                <w:bCs/>
                <w:sz w:val="24"/>
                <w:szCs w:val="24"/>
                <w:lang w:val="es-CO"/>
              </w:rPr>
              <w:t>Artículo</w:t>
            </w:r>
            <w:r w:rsidRPr="0005339B">
              <w:rPr>
                <w:rFonts w:ascii="Arial" w:hAnsi="Arial" w:cs="Arial"/>
                <w:sz w:val="24"/>
                <w:szCs w:val="24"/>
                <w:lang w:val="es-CO"/>
              </w:rPr>
              <w:t> </w:t>
            </w:r>
            <w:r w:rsidRPr="0005339B">
              <w:rPr>
                <w:rFonts w:ascii="Arial" w:hAnsi="Arial" w:cs="Arial"/>
                <w:b/>
                <w:bCs/>
                <w:sz w:val="24"/>
                <w:szCs w:val="24"/>
                <w:lang w:val="es-CO"/>
              </w:rPr>
              <w:t>287. </w:t>
            </w:r>
            <w:r w:rsidRPr="0005339B">
              <w:rPr>
                <w:rFonts w:ascii="Arial" w:hAnsi="Arial" w:cs="Arial"/>
                <w:b/>
                <w:bCs/>
                <w:iCs/>
                <w:sz w:val="24"/>
                <w:szCs w:val="24"/>
                <w:lang w:val="es-CO"/>
              </w:rPr>
              <w:t>Adición</w:t>
            </w:r>
            <w:r w:rsidRPr="0005339B">
              <w:rPr>
                <w:rFonts w:ascii="Arial" w:hAnsi="Arial" w:cs="Arial"/>
                <w:b/>
                <w:bCs/>
                <w:i/>
                <w:iCs/>
                <w:sz w:val="24"/>
                <w:szCs w:val="24"/>
                <w:lang w:val="es-CO"/>
              </w:rPr>
              <w:t>. </w:t>
            </w:r>
            <w:r w:rsidRPr="0005339B">
              <w:rPr>
                <w:rFonts w:ascii="Arial" w:hAnsi="Arial" w:cs="Arial"/>
                <w:i/>
                <w:sz w:val="24"/>
                <w:szCs w:val="24"/>
                <w:lang w:val="es-CO"/>
              </w:rPr>
              <w:t>Cuando la sentencia omita resolver sobre cualquiera de los extremos de la litis o sobre cualquier otro punto que de conformidad con la ley debía ser objeto de pronunciamiento, deberá adicionarse por medio de sentencia complementaria, dentro de la ejecutoria, de oficio o a solicitud de parte presentada en la misma oportunidad.</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El juez de segunda instancia deberá complementar la sentencia del</w:t>
            </w:r>
            <w:r w:rsidRPr="0005339B">
              <w:rPr>
                <w:rFonts w:ascii="Arial" w:hAnsi="Arial" w:cs="Arial"/>
                <w:sz w:val="24"/>
                <w:szCs w:val="24"/>
                <w:lang w:val="es-CO"/>
              </w:rPr>
              <w:t xml:space="preserve"> </w:t>
            </w:r>
            <w:r w:rsidRPr="0005339B">
              <w:rPr>
                <w:rFonts w:ascii="Arial" w:hAnsi="Arial" w:cs="Arial"/>
                <w:i/>
                <w:sz w:val="24"/>
                <w:szCs w:val="24"/>
                <w:lang w:val="es-CO"/>
              </w:rPr>
              <w:t>inferior siempre que la parte perjudicada con la omisión haya apelado; pero si dejó de resolver la demanda de reconvención o la de un proceso acumulado, le devolverá el expediente para que dicte sentencia complementaria.</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Los autos solo podrán adicionarse de oficio dentro del término de su ejecutoria, o a solicitud de parte presentada en el mismo término.</w:t>
            </w:r>
          </w:p>
          <w:p w:rsidR="0005339B" w:rsidRPr="0005339B" w:rsidRDefault="0005339B" w:rsidP="0005339B">
            <w:pPr>
              <w:jc w:val="both"/>
              <w:rPr>
                <w:rFonts w:ascii="Arial" w:hAnsi="Arial" w:cs="Arial"/>
                <w:i/>
                <w:sz w:val="24"/>
                <w:szCs w:val="24"/>
                <w:lang w:val="es-CO"/>
              </w:rPr>
            </w:pPr>
            <w:r w:rsidRPr="0005339B">
              <w:rPr>
                <w:rFonts w:ascii="Arial" w:hAnsi="Arial" w:cs="Arial"/>
                <w:i/>
                <w:sz w:val="24"/>
                <w:szCs w:val="24"/>
                <w:lang w:val="es-CO"/>
              </w:rPr>
              <w:t>Dentro del término de ejecutoria de la providencia que resuelva sobre la complementación podrá recurrirse también la providencia principal.</w:t>
            </w:r>
          </w:p>
          <w:p w:rsidR="0005339B" w:rsidRPr="00390100" w:rsidRDefault="0005339B" w:rsidP="00390100">
            <w:pPr>
              <w:jc w:val="both"/>
              <w:rPr>
                <w:rFonts w:ascii="Arial" w:hAnsi="Arial" w:cs="Arial"/>
                <w:i/>
                <w:sz w:val="24"/>
                <w:szCs w:val="24"/>
                <w:lang w:val="es-CO"/>
              </w:rPr>
            </w:pPr>
            <w:r w:rsidRPr="0005339B">
              <w:rPr>
                <w:rFonts w:ascii="Arial" w:hAnsi="Arial" w:cs="Arial"/>
                <w:b/>
                <w:bCs/>
                <w:sz w:val="24"/>
                <w:szCs w:val="24"/>
              </w:rPr>
              <w:t>Artículo</w:t>
            </w:r>
            <w:r w:rsidRPr="0005339B">
              <w:rPr>
                <w:rFonts w:ascii="Arial" w:hAnsi="Arial" w:cs="Arial"/>
                <w:sz w:val="24"/>
                <w:szCs w:val="24"/>
              </w:rPr>
              <w:t> </w:t>
            </w:r>
            <w:r w:rsidRPr="0005339B">
              <w:rPr>
                <w:rFonts w:ascii="Arial" w:hAnsi="Arial" w:cs="Arial"/>
                <w:b/>
                <w:bCs/>
                <w:sz w:val="24"/>
                <w:szCs w:val="24"/>
              </w:rPr>
              <w:t>132. </w:t>
            </w:r>
            <w:r w:rsidRPr="0005339B">
              <w:rPr>
                <w:rFonts w:ascii="Arial" w:hAnsi="Arial" w:cs="Arial"/>
                <w:b/>
                <w:bCs/>
                <w:iCs/>
                <w:sz w:val="24"/>
                <w:szCs w:val="24"/>
              </w:rPr>
              <w:t>Control de legalidad</w:t>
            </w:r>
            <w:r w:rsidRPr="0005339B">
              <w:rPr>
                <w:rFonts w:ascii="Arial" w:hAnsi="Arial" w:cs="Arial"/>
                <w:b/>
                <w:bCs/>
                <w:sz w:val="24"/>
                <w:szCs w:val="24"/>
              </w:rPr>
              <w:t>. </w:t>
            </w:r>
            <w:r w:rsidRPr="0005339B">
              <w:rPr>
                <w:rFonts w:ascii="Arial" w:hAnsi="Arial" w:cs="Arial"/>
                <w:i/>
                <w:sz w:val="24"/>
                <w:szCs w:val="24"/>
              </w:rPr>
              <w:t xml:space="preserve">Agotada cada etapa del proceso el juez deberá realizar control de legalidad para corregir o sanear los vicios que configuren nulidades u otras irregularidades del proceso, las cuales, salvo que se trate de hechos nuevos, no </w:t>
            </w:r>
            <w:r w:rsidRPr="0005339B">
              <w:rPr>
                <w:rFonts w:ascii="Arial" w:hAnsi="Arial" w:cs="Arial"/>
                <w:i/>
                <w:sz w:val="24"/>
                <w:szCs w:val="24"/>
              </w:rPr>
              <w:lastRenderedPageBreak/>
              <w:t>se podrán alegar en las etapas siguientes, sin perjuicio de lo previsto para los recursos de revisión y casación.</w:t>
            </w:r>
          </w:p>
        </w:tc>
      </w:tr>
    </w:tbl>
    <w:p w:rsidR="0005339B" w:rsidRDefault="0005339B" w:rsidP="0005339B">
      <w:pPr>
        <w:jc w:val="both"/>
        <w:rPr>
          <w:rFonts w:ascii="Arial" w:hAnsi="Arial" w:cs="Arial"/>
          <w:b/>
          <w:sz w:val="24"/>
          <w:szCs w:val="24"/>
        </w:rPr>
      </w:pPr>
    </w:p>
    <w:p w:rsidR="0005339B" w:rsidRDefault="0005339B" w:rsidP="0005339B">
      <w:pPr>
        <w:pStyle w:val="Prrafodelista"/>
        <w:numPr>
          <w:ilvl w:val="0"/>
          <w:numId w:val="1"/>
        </w:numPr>
        <w:jc w:val="both"/>
        <w:rPr>
          <w:rFonts w:ascii="Arial" w:eastAsia="Arial" w:hAnsi="Arial" w:cs="Arial"/>
          <w:b/>
          <w:bCs/>
          <w:sz w:val="24"/>
          <w:szCs w:val="24"/>
          <w:lang w:val="es-CO"/>
        </w:rPr>
      </w:pPr>
      <w:r>
        <w:rPr>
          <w:rFonts w:ascii="Arial" w:eastAsia="Arial" w:hAnsi="Arial" w:cs="Arial"/>
          <w:b/>
          <w:bCs/>
          <w:sz w:val="24"/>
          <w:szCs w:val="24"/>
          <w:lang w:val="es-CO"/>
        </w:rPr>
        <w:t>Cargos del accionante</w:t>
      </w:r>
    </w:p>
    <w:p w:rsidR="00390100" w:rsidRDefault="00390100" w:rsidP="0005339B">
      <w:pPr>
        <w:jc w:val="both"/>
        <w:rPr>
          <w:rFonts w:ascii="Arial" w:eastAsia="Arial" w:hAnsi="Arial" w:cs="Arial"/>
          <w:bCs/>
          <w:sz w:val="24"/>
          <w:szCs w:val="24"/>
          <w:lang w:val="es-CO"/>
        </w:rPr>
      </w:pPr>
      <w:r>
        <w:rPr>
          <w:rFonts w:ascii="Arial" w:eastAsia="Arial" w:hAnsi="Arial" w:cs="Arial"/>
          <w:bCs/>
          <w:sz w:val="24"/>
          <w:szCs w:val="24"/>
          <w:lang w:val="es-CO"/>
        </w:rPr>
        <w:t>Las normas demandadas vulneran los artículos 1-8, 13, 29, 123 y 228-230 de la Constitución Política</w:t>
      </w:r>
      <w:r w:rsidR="0005339B">
        <w:rPr>
          <w:rFonts w:ascii="Arial" w:eastAsia="Arial" w:hAnsi="Arial" w:cs="Arial"/>
          <w:bCs/>
          <w:sz w:val="24"/>
          <w:szCs w:val="24"/>
          <w:lang w:val="es-CO"/>
        </w:rPr>
        <w:t>.</w:t>
      </w:r>
    </w:p>
    <w:p w:rsidR="0005339B" w:rsidRDefault="0013481E" w:rsidP="0005339B">
      <w:pPr>
        <w:jc w:val="both"/>
        <w:rPr>
          <w:rFonts w:ascii="Arial" w:eastAsia="Arial" w:hAnsi="Arial" w:cs="Arial"/>
          <w:bCs/>
          <w:sz w:val="24"/>
          <w:szCs w:val="24"/>
          <w:lang w:val="es-CO"/>
        </w:rPr>
      </w:pPr>
      <w:r>
        <w:rPr>
          <w:rFonts w:ascii="Arial" w:eastAsia="Arial" w:hAnsi="Arial" w:cs="Arial"/>
          <w:bCs/>
          <w:sz w:val="24"/>
          <w:szCs w:val="24"/>
          <w:lang w:val="es-CO"/>
        </w:rPr>
        <w:t>El legislador tenía la obligación de consignar en el Código General del Proceso una cláusula general o artículo sobre la ineficacia de sentencias y providencias judiciales que contravinieren el debe</w:t>
      </w:r>
      <w:r w:rsidR="005A7CE9">
        <w:rPr>
          <w:rFonts w:ascii="Arial" w:eastAsia="Arial" w:hAnsi="Arial" w:cs="Arial"/>
          <w:bCs/>
          <w:sz w:val="24"/>
          <w:szCs w:val="24"/>
          <w:lang w:val="es-CO"/>
        </w:rPr>
        <w:t>r</w:t>
      </w:r>
      <w:r>
        <w:rPr>
          <w:rFonts w:ascii="Arial" w:eastAsia="Arial" w:hAnsi="Arial" w:cs="Arial"/>
          <w:bCs/>
          <w:sz w:val="24"/>
          <w:szCs w:val="24"/>
          <w:lang w:val="es-CO"/>
        </w:rPr>
        <w:t xml:space="preserve"> constitucional de ‘‘asegurar el cumplimiento de los deberes sociales del Estado’’, los principios inspiradores, fines esenciales y derechos fundamentales constitucionales de la Constitución Política</w:t>
      </w:r>
      <w:r w:rsidR="005A7CE9">
        <w:rPr>
          <w:rFonts w:ascii="Arial" w:eastAsia="Arial" w:hAnsi="Arial" w:cs="Arial"/>
          <w:bCs/>
          <w:sz w:val="24"/>
          <w:szCs w:val="24"/>
          <w:lang w:val="es-CO"/>
        </w:rPr>
        <w:t xml:space="preserve">, </w:t>
      </w:r>
      <w:r w:rsidR="00571371">
        <w:rPr>
          <w:rFonts w:ascii="Arial" w:eastAsia="Arial" w:hAnsi="Arial" w:cs="Arial"/>
          <w:bCs/>
          <w:sz w:val="24"/>
          <w:szCs w:val="24"/>
          <w:lang w:val="es-CO"/>
        </w:rPr>
        <w:t xml:space="preserve">constituyéndose </w:t>
      </w:r>
      <w:r w:rsidR="00FE73DE">
        <w:rPr>
          <w:rFonts w:ascii="Arial" w:eastAsia="Arial" w:hAnsi="Arial" w:cs="Arial"/>
          <w:bCs/>
          <w:sz w:val="24"/>
          <w:szCs w:val="24"/>
          <w:lang w:val="es-CO"/>
        </w:rPr>
        <w:t xml:space="preserve">así </w:t>
      </w:r>
      <w:r w:rsidR="005A7CE9">
        <w:rPr>
          <w:rFonts w:ascii="Arial" w:eastAsia="Arial" w:hAnsi="Arial" w:cs="Arial"/>
          <w:bCs/>
          <w:sz w:val="24"/>
          <w:szCs w:val="24"/>
          <w:lang w:val="es-CO"/>
        </w:rPr>
        <w:t>una elusión inconstitucional</w:t>
      </w:r>
      <w:r w:rsidR="00571371">
        <w:rPr>
          <w:rFonts w:ascii="Arial" w:eastAsia="Arial" w:hAnsi="Arial" w:cs="Arial"/>
          <w:bCs/>
          <w:sz w:val="24"/>
          <w:szCs w:val="24"/>
          <w:lang w:val="es-CO"/>
        </w:rPr>
        <w:t xml:space="preserve">. </w:t>
      </w:r>
    </w:p>
    <w:p w:rsidR="0005339B" w:rsidRPr="004C4DD2" w:rsidRDefault="0005339B" w:rsidP="0005339B">
      <w:pPr>
        <w:pStyle w:val="Prrafodelista"/>
        <w:numPr>
          <w:ilvl w:val="0"/>
          <w:numId w:val="1"/>
        </w:numPr>
        <w:jc w:val="both"/>
        <w:rPr>
          <w:rFonts w:ascii="Arial" w:eastAsia="Arial" w:hAnsi="Arial" w:cs="Arial"/>
          <w:b/>
          <w:bCs/>
          <w:sz w:val="24"/>
          <w:szCs w:val="24"/>
          <w:lang w:val="es-CO"/>
        </w:rPr>
      </w:pPr>
      <w:r w:rsidRPr="004C4DD2">
        <w:rPr>
          <w:rFonts w:ascii="Arial" w:eastAsia="Arial" w:hAnsi="Arial" w:cs="Arial"/>
          <w:b/>
          <w:bCs/>
          <w:sz w:val="24"/>
          <w:szCs w:val="24"/>
          <w:lang w:val="es-CO"/>
        </w:rPr>
        <w:t>Actuación</w:t>
      </w:r>
    </w:p>
    <w:p w:rsidR="0005339B" w:rsidRPr="004C4DD2" w:rsidRDefault="005D4913" w:rsidP="0005339B">
      <w:pPr>
        <w:rPr>
          <w:rFonts w:ascii="Arial" w:hAnsi="Arial" w:cs="Arial"/>
          <w:sz w:val="24"/>
          <w:szCs w:val="24"/>
        </w:rPr>
      </w:pPr>
      <w:r>
        <w:rPr>
          <w:rFonts w:ascii="Arial" w:hAnsi="Arial" w:cs="Arial"/>
          <w:sz w:val="24"/>
          <w:szCs w:val="24"/>
        </w:rPr>
        <w:t xml:space="preserve">La demanda fue </w:t>
      </w:r>
      <w:r w:rsidR="004358C3">
        <w:rPr>
          <w:rFonts w:ascii="Arial" w:hAnsi="Arial" w:cs="Arial"/>
          <w:sz w:val="24"/>
          <w:szCs w:val="24"/>
        </w:rPr>
        <w:t xml:space="preserve">archivada </w:t>
      </w:r>
      <w:r>
        <w:rPr>
          <w:rFonts w:ascii="Arial" w:hAnsi="Arial" w:cs="Arial"/>
          <w:sz w:val="24"/>
          <w:szCs w:val="24"/>
        </w:rPr>
        <w:t xml:space="preserve">el </w:t>
      </w:r>
      <w:r w:rsidR="004E2B02">
        <w:rPr>
          <w:rFonts w:ascii="Arial" w:hAnsi="Arial" w:cs="Arial"/>
          <w:sz w:val="24"/>
          <w:szCs w:val="24"/>
        </w:rPr>
        <w:t>3</w:t>
      </w:r>
      <w:r>
        <w:rPr>
          <w:rFonts w:ascii="Arial" w:hAnsi="Arial" w:cs="Arial"/>
          <w:sz w:val="24"/>
          <w:szCs w:val="24"/>
        </w:rPr>
        <w:t xml:space="preserve"> de agosto de 2016</w:t>
      </w:r>
      <w:r w:rsidR="0005339B">
        <w:rPr>
          <w:rFonts w:ascii="Arial" w:hAnsi="Arial" w:cs="Arial"/>
          <w:sz w:val="24"/>
          <w:szCs w:val="24"/>
        </w:rPr>
        <w:t xml:space="preserve">. </w:t>
      </w:r>
    </w:p>
    <w:p w:rsidR="00090C2A" w:rsidRDefault="00814E87"/>
    <w:sectPr w:rsidR="00090C2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87" w:rsidRDefault="00814E87" w:rsidP="0005339B">
      <w:pPr>
        <w:spacing w:after="0" w:line="240" w:lineRule="auto"/>
      </w:pPr>
      <w:r>
        <w:separator/>
      </w:r>
    </w:p>
  </w:endnote>
  <w:endnote w:type="continuationSeparator" w:id="0">
    <w:p w:rsidR="00814E87" w:rsidRDefault="00814E87" w:rsidP="0005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87" w:rsidRDefault="00814E87" w:rsidP="0005339B">
      <w:pPr>
        <w:spacing w:after="0" w:line="240" w:lineRule="auto"/>
      </w:pPr>
      <w:r>
        <w:separator/>
      </w:r>
    </w:p>
  </w:footnote>
  <w:footnote w:type="continuationSeparator" w:id="0">
    <w:p w:rsidR="00814E87" w:rsidRDefault="00814E87" w:rsidP="00053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9B" w:rsidRPr="0005339B" w:rsidRDefault="0005339B">
    <w:pPr>
      <w:pStyle w:val="Encabezado"/>
      <w:rPr>
        <w:lang w:val="es-CO"/>
      </w:rPr>
    </w:pPr>
    <w:proofErr w:type="spellStart"/>
    <w:r>
      <w:rPr>
        <w:lang w:val="es-CO"/>
      </w:rPr>
      <w:t>EXP</w:t>
    </w:r>
    <w:proofErr w:type="spellEnd"/>
    <w:r>
      <w:rPr>
        <w:lang w:val="es-CO"/>
      </w:rPr>
      <w:t>. D-11508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445C9"/>
    <w:multiLevelType w:val="hybridMultilevel"/>
    <w:tmpl w:val="3DA8ADBA"/>
    <w:lvl w:ilvl="0" w:tplc="33989C5E">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9B"/>
    <w:rsid w:val="0005339B"/>
    <w:rsid w:val="000C46E1"/>
    <w:rsid w:val="0013481E"/>
    <w:rsid w:val="00175965"/>
    <w:rsid w:val="00224EC2"/>
    <w:rsid w:val="00235ADB"/>
    <w:rsid w:val="002B5867"/>
    <w:rsid w:val="003154C4"/>
    <w:rsid w:val="00390100"/>
    <w:rsid w:val="003F63E5"/>
    <w:rsid w:val="004358C3"/>
    <w:rsid w:val="004A23CB"/>
    <w:rsid w:val="004E2B02"/>
    <w:rsid w:val="0053741A"/>
    <w:rsid w:val="005630A5"/>
    <w:rsid w:val="005630ED"/>
    <w:rsid w:val="00571371"/>
    <w:rsid w:val="005A7CE9"/>
    <w:rsid w:val="005B57CF"/>
    <w:rsid w:val="005D4913"/>
    <w:rsid w:val="00750F77"/>
    <w:rsid w:val="00782B68"/>
    <w:rsid w:val="007B0B19"/>
    <w:rsid w:val="00814E87"/>
    <w:rsid w:val="00A44025"/>
    <w:rsid w:val="00A60727"/>
    <w:rsid w:val="00A726C5"/>
    <w:rsid w:val="00A8040F"/>
    <w:rsid w:val="00B11BC6"/>
    <w:rsid w:val="00B61D80"/>
    <w:rsid w:val="00BC253F"/>
    <w:rsid w:val="00BD5202"/>
    <w:rsid w:val="00C37908"/>
    <w:rsid w:val="00C47381"/>
    <w:rsid w:val="00D34545"/>
    <w:rsid w:val="00DC2173"/>
    <w:rsid w:val="00FE73DE"/>
    <w:rsid w:val="00FF1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05BD"/>
  <w15:chartTrackingRefBased/>
  <w15:docId w15:val="{7592CD5E-A1FF-4325-80CF-7DD0D260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39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39B"/>
    <w:pPr>
      <w:ind w:left="720"/>
      <w:contextualSpacing/>
    </w:pPr>
  </w:style>
  <w:style w:type="character" w:styleId="Hipervnculo">
    <w:name w:val="Hyperlink"/>
    <w:basedOn w:val="Fuentedeprrafopredeter"/>
    <w:uiPriority w:val="99"/>
    <w:unhideWhenUsed/>
    <w:rsid w:val="0005339B"/>
    <w:rPr>
      <w:color w:val="0563C1" w:themeColor="hyperlink"/>
      <w:u w:val="single"/>
    </w:rPr>
  </w:style>
  <w:style w:type="paragraph" w:styleId="Encabezado">
    <w:name w:val="header"/>
    <w:basedOn w:val="Normal"/>
    <w:link w:val="EncabezadoCar"/>
    <w:uiPriority w:val="99"/>
    <w:unhideWhenUsed/>
    <w:rsid w:val="000533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39B"/>
    <w:rPr>
      <w:rFonts w:ascii="Calibri" w:eastAsia="Calibri" w:hAnsi="Calibri" w:cs="Times New Roman"/>
      <w:lang w:val="es-ES"/>
    </w:rPr>
  </w:style>
  <w:style w:type="paragraph" w:styleId="Piedepgina">
    <w:name w:val="footer"/>
    <w:basedOn w:val="Normal"/>
    <w:link w:val="PiedepginaCar"/>
    <w:uiPriority w:val="99"/>
    <w:unhideWhenUsed/>
    <w:rsid w:val="000533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39B"/>
    <w:rPr>
      <w:rFonts w:ascii="Calibri" w:eastAsia="Calibri" w:hAnsi="Calibri" w:cs="Times New Roman"/>
      <w:lang w:val="es-ES"/>
    </w:rPr>
  </w:style>
  <w:style w:type="character" w:styleId="Mencinsinresolver">
    <w:name w:val="Unresolved Mention"/>
    <w:basedOn w:val="Fuentedeprrafopredeter"/>
    <w:uiPriority w:val="99"/>
    <w:semiHidden/>
    <w:unhideWhenUsed/>
    <w:rsid w:val="00053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8938">
      <w:bodyDiv w:val="1"/>
      <w:marLeft w:val="0"/>
      <w:marRight w:val="0"/>
      <w:marTop w:val="0"/>
      <w:marBottom w:val="0"/>
      <w:divBdr>
        <w:top w:val="none" w:sz="0" w:space="0" w:color="auto"/>
        <w:left w:val="none" w:sz="0" w:space="0" w:color="auto"/>
        <w:bottom w:val="none" w:sz="0" w:space="0" w:color="auto"/>
        <w:right w:val="none" w:sz="0" w:space="0" w:color="auto"/>
      </w:divBdr>
    </w:div>
    <w:div w:id="518474241">
      <w:bodyDiv w:val="1"/>
      <w:marLeft w:val="0"/>
      <w:marRight w:val="0"/>
      <w:marTop w:val="0"/>
      <w:marBottom w:val="0"/>
      <w:divBdr>
        <w:top w:val="none" w:sz="0" w:space="0" w:color="auto"/>
        <w:left w:val="none" w:sz="0" w:space="0" w:color="auto"/>
        <w:bottom w:val="none" w:sz="0" w:space="0" w:color="auto"/>
        <w:right w:val="none" w:sz="0" w:space="0" w:color="auto"/>
      </w:divBdr>
    </w:div>
    <w:div w:id="1134325867">
      <w:bodyDiv w:val="1"/>
      <w:marLeft w:val="0"/>
      <w:marRight w:val="0"/>
      <w:marTop w:val="0"/>
      <w:marBottom w:val="0"/>
      <w:divBdr>
        <w:top w:val="none" w:sz="0" w:space="0" w:color="auto"/>
        <w:left w:val="none" w:sz="0" w:space="0" w:color="auto"/>
        <w:bottom w:val="none" w:sz="0" w:space="0" w:color="auto"/>
        <w:right w:val="none" w:sz="0" w:space="0" w:color="auto"/>
      </w:divBdr>
    </w:div>
    <w:div w:id="11987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Robles Ustariz</dc:creator>
  <cp:keywords/>
  <dc:description/>
  <cp:lastModifiedBy>Martha Robles Ustariz</cp:lastModifiedBy>
  <cp:revision>11</cp:revision>
  <dcterms:created xsi:type="dcterms:W3CDTF">2018-02-09T09:28:00Z</dcterms:created>
  <dcterms:modified xsi:type="dcterms:W3CDTF">2018-02-11T21:54:00Z</dcterms:modified>
</cp:coreProperties>
</file>