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BF6BFA" w:rsidRPr="00F81FAE" w:rsidTr="008A5B74">
        <w:tc>
          <w:tcPr>
            <w:tcW w:w="2518" w:type="dxa"/>
          </w:tcPr>
          <w:p w:rsidR="00BF6BFA" w:rsidRPr="00F81FAE" w:rsidRDefault="00BF6BFA" w:rsidP="008A5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61A3844D">
              <w:rPr>
                <w:rFonts w:ascii="Arial" w:eastAsia="Arial" w:hAnsi="Arial" w:cs="Arial"/>
                <w:sz w:val="24"/>
                <w:szCs w:val="24"/>
                <w:lang w:val="es-CO"/>
              </w:rPr>
              <w:t>Número de expediente</w:t>
            </w:r>
          </w:p>
        </w:tc>
        <w:tc>
          <w:tcPr>
            <w:tcW w:w="6237" w:type="dxa"/>
          </w:tcPr>
          <w:p w:rsidR="00BF6BFA" w:rsidRPr="00F81FAE" w:rsidRDefault="00BF6BFA" w:rsidP="008A5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CO"/>
              </w:rPr>
              <w:t>D-10067</w:t>
            </w:r>
          </w:p>
        </w:tc>
      </w:tr>
      <w:tr w:rsidR="00BF6BFA" w:rsidRPr="00F81FAE" w:rsidTr="008A5B74">
        <w:tc>
          <w:tcPr>
            <w:tcW w:w="2518" w:type="dxa"/>
          </w:tcPr>
          <w:p w:rsidR="00BF6BFA" w:rsidRPr="00F81FAE" w:rsidRDefault="00BF6BFA" w:rsidP="008A5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61A3844D">
              <w:rPr>
                <w:rFonts w:ascii="Arial" w:eastAsia="Arial" w:hAnsi="Arial" w:cs="Arial"/>
                <w:sz w:val="24"/>
                <w:szCs w:val="24"/>
                <w:lang w:val="es-CO"/>
              </w:rPr>
              <w:t>Magistrado Ponente</w:t>
            </w:r>
          </w:p>
        </w:tc>
        <w:tc>
          <w:tcPr>
            <w:tcW w:w="6237" w:type="dxa"/>
          </w:tcPr>
          <w:p w:rsidR="00BF6BFA" w:rsidRPr="00F81FAE" w:rsidRDefault="00BF6BFA" w:rsidP="008A5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Alberto Rojas Ríos</w:t>
            </w:r>
          </w:p>
        </w:tc>
      </w:tr>
      <w:tr w:rsidR="00BF6BFA" w:rsidRPr="00F81FAE" w:rsidTr="008A5B74">
        <w:tc>
          <w:tcPr>
            <w:tcW w:w="2518" w:type="dxa"/>
          </w:tcPr>
          <w:p w:rsidR="00BF6BFA" w:rsidRPr="00F81FAE" w:rsidRDefault="00BF6BFA" w:rsidP="008A5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61A3844D">
              <w:rPr>
                <w:rFonts w:ascii="Arial" w:eastAsia="Arial" w:hAnsi="Arial" w:cs="Arial"/>
                <w:sz w:val="24"/>
                <w:szCs w:val="24"/>
                <w:lang w:val="es-CO"/>
              </w:rPr>
              <w:t>Fecha</w:t>
            </w:r>
          </w:p>
        </w:tc>
        <w:tc>
          <w:tcPr>
            <w:tcW w:w="6237" w:type="dxa"/>
          </w:tcPr>
          <w:p w:rsidR="00BF6BFA" w:rsidRPr="00F81FAE" w:rsidRDefault="00BF6BFA" w:rsidP="008A5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CO"/>
              </w:rPr>
              <w:t>18 de diciembre</w:t>
            </w:r>
            <w:r>
              <w:rPr>
                <w:rFonts w:ascii="Arial" w:eastAsia="Arial" w:hAnsi="Arial" w:cs="Arial"/>
                <w:sz w:val="24"/>
                <w:szCs w:val="24"/>
                <w:lang w:val="es-CO"/>
              </w:rPr>
              <w:t xml:space="preserve">  de 2013</w:t>
            </w:r>
          </w:p>
        </w:tc>
      </w:tr>
      <w:tr w:rsidR="00BF6BFA" w:rsidRPr="00F81FAE" w:rsidTr="008A5B74">
        <w:tc>
          <w:tcPr>
            <w:tcW w:w="2518" w:type="dxa"/>
          </w:tcPr>
          <w:p w:rsidR="00BF6BFA" w:rsidRPr="00F81FAE" w:rsidRDefault="00BF6BFA" w:rsidP="008A5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61A3844D">
              <w:rPr>
                <w:rFonts w:ascii="Arial" w:eastAsia="Arial" w:hAnsi="Arial" w:cs="Arial"/>
                <w:sz w:val="24"/>
                <w:szCs w:val="24"/>
                <w:lang w:val="es-CO"/>
              </w:rPr>
              <w:t>Tema</w:t>
            </w:r>
          </w:p>
        </w:tc>
        <w:tc>
          <w:tcPr>
            <w:tcW w:w="6237" w:type="dxa"/>
          </w:tcPr>
          <w:p w:rsidR="00BF6BFA" w:rsidRPr="00F81FAE" w:rsidRDefault="00BF6BFA" w:rsidP="008A5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CO"/>
              </w:rPr>
              <w:t>Poderes disciplinarios y correccionales del juez</w:t>
            </w:r>
          </w:p>
        </w:tc>
      </w:tr>
      <w:tr w:rsidR="00BF6BFA" w:rsidRPr="00F81FAE" w:rsidTr="008A5B74">
        <w:tc>
          <w:tcPr>
            <w:tcW w:w="2518" w:type="dxa"/>
          </w:tcPr>
          <w:p w:rsidR="00BF6BFA" w:rsidRPr="00F81FAE" w:rsidRDefault="00BF6BFA" w:rsidP="008A5B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61A3844D">
              <w:rPr>
                <w:rFonts w:ascii="Arial" w:eastAsia="Arial" w:hAnsi="Arial" w:cs="Arial"/>
                <w:sz w:val="24"/>
                <w:szCs w:val="24"/>
                <w:lang w:val="es-CO"/>
              </w:rPr>
              <w:t>Norma demandada</w:t>
            </w:r>
          </w:p>
        </w:tc>
        <w:tc>
          <w:tcPr>
            <w:tcW w:w="6237" w:type="dxa"/>
          </w:tcPr>
          <w:p w:rsidR="00BF6BFA" w:rsidRPr="00F81FAE" w:rsidRDefault="00BF6BFA" w:rsidP="008A5B74">
            <w:pPr>
              <w:pStyle w:val="NormalWeb"/>
              <w:contextualSpacing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hd w:val="clear" w:color="auto" w:fill="FFFFFF"/>
              </w:rPr>
              <w:t xml:space="preserve">Ley 1564 de 2012, Artículo </w:t>
            </w:r>
            <w:r>
              <w:rPr>
                <w:rFonts w:ascii="Arial" w:eastAsia="Arial" w:hAnsi="Arial" w:cs="Arial"/>
                <w:b/>
                <w:bCs/>
                <w:color w:val="000000"/>
                <w:shd w:val="clear" w:color="auto" w:fill="FFFFFF"/>
              </w:rPr>
              <w:t>44, numerales 1 y 6</w:t>
            </w:r>
          </w:p>
          <w:p w:rsidR="00BF6BFA" w:rsidRPr="00F81FAE" w:rsidRDefault="00BF6BFA" w:rsidP="008A5B74">
            <w:pPr>
              <w:pStyle w:val="NormalWeb"/>
              <w:contextualSpacing/>
              <w:jc w:val="both"/>
            </w:pPr>
          </w:p>
          <w:p w:rsidR="00BF6BFA" w:rsidRDefault="00BF6BFA" w:rsidP="00BF6BFA">
            <w:pPr>
              <w:pStyle w:val="NormalWeb"/>
              <w:contextualSpacing/>
              <w:jc w:val="both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'' </w:t>
            </w:r>
            <w:r>
              <w:rPr>
                <w:rFonts w:ascii="Arial" w:eastAsia="Arial" w:hAnsi="Arial" w:cs="Arial"/>
                <w:i/>
                <w:iCs/>
              </w:rPr>
              <w:t>Sin perjuicio de la acción disciplinaria a la que haya lugar, el juez tendrá los siguientes poderes correccionales:</w:t>
            </w:r>
          </w:p>
          <w:p w:rsidR="00BF6BFA" w:rsidRDefault="00BF6BFA" w:rsidP="00BF6BFA">
            <w:pPr>
              <w:pStyle w:val="NormalWeb"/>
              <w:contextualSpacing/>
              <w:jc w:val="both"/>
              <w:rPr>
                <w:rFonts w:ascii="Arial" w:eastAsia="Arial" w:hAnsi="Arial" w:cs="Arial"/>
                <w:i/>
                <w:iCs/>
              </w:rPr>
            </w:pPr>
          </w:p>
          <w:p w:rsidR="00BF6BFA" w:rsidRPr="00BF6BFA" w:rsidRDefault="00BF6BFA" w:rsidP="00BF6BFA">
            <w:pPr>
              <w:pStyle w:val="NormalWeb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  <w:iCs/>
              </w:rPr>
              <w:t>Sancionar con arresto inconmutable hasta por cinco (5) días a quienes le falten al debido respeto en el ejercicio de sus funciones o por razón de ellas.</w:t>
            </w:r>
          </w:p>
          <w:p w:rsidR="00BF6BFA" w:rsidRPr="00BF6BFA" w:rsidRDefault="00BF6BFA" w:rsidP="00BF6BFA">
            <w:pPr>
              <w:pStyle w:val="NormalWeb"/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BF6BFA" w:rsidRDefault="00BF6BFA" w:rsidP="00BF6BFA">
            <w:pPr>
              <w:pStyle w:val="NormalWeb"/>
              <w:ind w:left="720"/>
              <w:contextualSpacing/>
              <w:jc w:val="both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>(…)</w:t>
            </w:r>
          </w:p>
          <w:p w:rsidR="00BF6BFA" w:rsidRDefault="00BF6BFA" w:rsidP="00BF6BFA">
            <w:pPr>
              <w:pStyle w:val="NormalWeb"/>
              <w:ind w:left="720"/>
              <w:contextualSpacing/>
              <w:jc w:val="both"/>
              <w:rPr>
                <w:rFonts w:ascii="Arial" w:eastAsia="Arial" w:hAnsi="Arial" w:cs="Arial"/>
                <w:i/>
                <w:iCs/>
              </w:rPr>
            </w:pPr>
          </w:p>
          <w:p w:rsidR="00BF6BFA" w:rsidRDefault="00BF6BFA" w:rsidP="00BF6BFA">
            <w:pPr>
              <w:pStyle w:val="NormalWeb"/>
              <w:contextualSpacing/>
              <w:jc w:val="both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      6. Ordenar que se devuelvan los escritos irrespetuosos contra los funcionarios, las partes o terceros”.</w:t>
            </w:r>
          </w:p>
          <w:p w:rsidR="00BF6BFA" w:rsidRPr="0064397A" w:rsidRDefault="00BF6BFA" w:rsidP="00BF6BFA">
            <w:pPr>
              <w:pStyle w:val="NormalWeb"/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BF6BFA" w:rsidRPr="00F81FAE" w:rsidRDefault="00BF6BFA" w:rsidP="00BF6BFA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BF6BFA" w:rsidRPr="00F81FAE" w:rsidRDefault="00BF6BFA" w:rsidP="00BF6BFA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61A3844D">
        <w:rPr>
          <w:rFonts w:ascii="Arial" w:eastAsia="Arial" w:hAnsi="Arial" w:cs="Arial"/>
          <w:b/>
          <w:bCs/>
          <w:sz w:val="24"/>
          <w:szCs w:val="24"/>
          <w:lang w:val="es-CO"/>
        </w:rPr>
        <w:t>Cargos del accionante</w:t>
      </w:r>
    </w:p>
    <w:p w:rsidR="00BF6BFA" w:rsidRDefault="00BF6BFA" w:rsidP="00BF6BFA">
      <w:pPr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z w:val="24"/>
          <w:szCs w:val="24"/>
          <w:lang w:val="es-CO"/>
        </w:rPr>
        <w:t>La norma acusada de inconstitucional vulne</w:t>
      </w:r>
      <w:r w:rsidR="00AA5D13">
        <w:rPr>
          <w:rFonts w:ascii="Arial" w:eastAsia="Arial" w:hAnsi="Arial" w:cs="Arial"/>
          <w:sz w:val="24"/>
          <w:szCs w:val="24"/>
          <w:lang w:val="es-CO"/>
        </w:rPr>
        <w:t>ra los derechos fundamentales a no padecer infracciones y sanciones o penas imprescriptibles, al debido proceso, al principio de legalidad</w:t>
      </w:r>
      <w:r w:rsidR="00A8016C">
        <w:rPr>
          <w:rFonts w:ascii="Arial" w:eastAsia="Arial" w:hAnsi="Arial" w:cs="Arial"/>
          <w:sz w:val="24"/>
          <w:szCs w:val="24"/>
          <w:lang w:val="es-CO"/>
        </w:rPr>
        <w:t xml:space="preserve"> y favorabilidad</w:t>
      </w:r>
      <w:r w:rsidR="00AA5D13">
        <w:rPr>
          <w:rFonts w:ascii="Arial" w:eastAsia="Arial" w:hAnsi="Arial" w:cs="Arial"/>
          <w:sz w:val="24"/>
          <w:szCs w:val="24"/>
          <w:lang w:val="es-CO"/>
        </w:rPr>
        <w:t xml:space="preserve"> en materia penal, el principio de prohibición del juzgamiento punible analógico o extensivo, al acceso a la administración de justicia, y a la libertad de expresión</w:t>
      </w:r>
      <w:r w:rsidR="005566A2">
        <w:rPr>
          <w:rFonts w:ascii="Arial" w:eastAsia="Arial" w:hAnsi="Arial" w:cs="Arial"/>
          <w:sz w:val="24"/>
          <w:szCs w:val="24"/>
          <w:lang w:val="es-CO"/>
        </w:rPr>
        <w:t xml:space="preserve">. </w:t>
      </w:r>
    </w:p>
    <w:p w:rsidR="005566A2" w:rsidRDefault="005566A2" w:rsidP="00BF6BFA">
      <w:pPr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z w:val="24"/>
          <w:szCs w:val="24"/>
          <w:lang w:val="es-CO"/>
        </w:rPr>
        <w:t>En primer lugar, el arresto prescrito en la norma demandada deviene en una medida correccional imprescriptible, desproporcionada e insegura frente a los objetivos y finalidades de la competencia correccional estatuida por la Ley Estatutaria de la Administración de Justicia</w:t>
      </w:r>
      <w:r w:rsidR="00A8016C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A8016C" w:rsidRDefault="00A8016C" w:rsidP="00BF6BFA">
      <w:pPr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z w:val="24"/>
          <w:szCs w:val="24"/>
          <w:lang w:val="es-CO"/>
        </w:rPr>
        <w:t>De otra parte, esta norma transgrede el principio de favorabilidad y legalidad en materia penal, pues en la Ley Estatutaria de Administración de Justicia</w:t>
      </w:r>
      <w:r w:rsidR="00054260">
        <w:rPr>
          <w:rFonts w:ascii="Arial" w:eastAsia="Arial" w:hAnsi="Arial" w:cs="Arial"/>
          <w:sz w:val="24"/>
          <w:szCs w:val="24"/>
          <w:lang w:val="es-CO"/>
        </w:rPr>
        <w:t xml:space="preserve"> no se prevé como sanción a los abogados, partes y terceros que actúan dentro de un proceso judicial sin el debido respeto el arresto inconmutable, sino la multa.</w:t>
      </w:r>
      <w:r w:rsidR="00EB3851">
        <w:rPr>
          <w:rFonts w:ascii="Arial" w:eastAsia="Arial" w:hAnsi="Arial" w:cs="Arial"/>
          <w:sz w:val="24"/>
          <w:szCs w:val="24"/>
          <w:lang w:val="es-CO"/>
        </w:rPr>
        <w:t xml:space="preserve"> Adicionalmente, el término “irrespetuoso” previsto en los apartes de la norma demandada, es un término ambiguo que vulnera el principio de tipicidad de las conductas en materia penal.</w:t>
      </w:r>
    </w:p>
    <w:p w:rsidR="00054260" w:rsidRDefault="00054260" w:rsidP="00BF6BFA">
      <w:pPr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z w:val="24"/>
          <w:szCs w:val="24"/>
          <w:lang w:val="es-CO"/>
        </w:rPr>
        <w:t>Estas normas también violan el derecho fundamental al debido proceso de los particulares p</w:t>
      </w:r>
      <w:r w:rsidR="006B30B0">
        <w:rPr>
          <w:rFonts w:ascii="Arial" w:eastAsia="Arial" w:hAnsi="Arial" w:cs="Arial"/>
          <w:sz w:val="24"/>
          <w:szCs w:val="24"/>
          <w:lang w:val="es-CO"/>
        </w:rPr>
        <w:t>ues las infracciones propias del apoderado judicial, cuan</w:t>
      </w:r>
      <w:r w:rsidR="007268DD">
        <w:rPr>
          <w:rFonts w:ascii="Arial" w:eastAsia="Arial" w:hAnsi="Arial" w:cs="Arial"/>
          <w:sz w:val="24"/>
          <w:szCs w:val="24"/>
          <w:lang w:val="es-CO"/>
        </w:rPr>
        <w:t xml:space="preserve">do actúa </w:t>
      </w:r>
      <w:r w:rsidR="007268DD">
        <w:rPr>
          <w:rFonts w:ascii="Arial" w:eastAsia="Arial" w:hAnsi="Arial" w:cs="Arial"/>
          <w:sz w:val="24"/>
          <w:szCs w:val="24"/>
          <w:lang w:val="es-CO"/>
        </w:rPr>
        <w:lastRenderedPageBreak/>
        <w:t>en un proceso judicial sin el debido respeto, no deben perjudicar a la parte procesal litigante que le ha otorgado poder.</w:t>
      </w:r>
    </w:p>
    <w:p w:rsidR="00D03AF5" w:rsidRDefault="00D03AF5" w:rsidP="00BF6BFA">
      <w:pPr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z w:val="24"/>
          <w:szCs w:val="24"/>
          <w:lang w:val="es-CO"/>
        </w:rPr>
        <w:t>Y finalmente, los numerales de la disposición acusada vulneran el derecho fundamental a la libertad de expresión, en la medida en que se inhibe  el eficaz desempeño profesional del abogado en ejercicio, dada la amenaza cierta de la punibilidad correccional.</w:t>
      </w:r>
      <w:bookmarkStart w:id="0" w:name="_GoBack"/>
      <w:bookmarkEnd w:id="0"/>
    </w:p>
    <w:p w:rsidR="00BF6BFA" w:rsidRPr="00F81FAE" w:rsidRDefault="00BF6BFA" w:rsidP="00BF6BFA">
      <w:pPr>
        <w:jc w:val="both"/>
        <w:rPr>
          <w:rFonts w:ascii="Arial" w:eastAsia="Arial" w:hAnsi="Arial" w:cs="Arial"/>
          <w:sz w:val="24"/>
          <w:szCs w:val="24"/>
        </w:rPr>
      </w:pPr>
      <w:r w:rsidRPr="61A3844D">
        <w:rPr>
          <w:rFonts w:ascii="Arial" w:eastAsia="Arial" w:hAnsi="Arial" w:cs="Arial"/>
          <w:b/>
          <w:bCs/>
          <w:sz w:val="24"/>
          <w:szCs w:val="24"/>
          <w:lang w:val="es-CO"/>
        </w:rPr>
        <w:t>Actuación.</w:t>
      </w:r>
    </w:p>
    <w:p w:rsidR="00BF6BFA" w:rsidRPr="00161DCC" w:rsidRDefault="00BF6BFA" w:rsidP="00BF6BFA">
      <w:pPr>
        <w:jc w:val="both"/>
        <w:rPr>
          <w:lang w:val="es-CO"/>
        </w:rPr>
      </w:pPr>
      <w:r w:rsidRPr="61A3844D">
        <w:rPr>
          <w:rFonts w:ascii="Arial" w:eastAsia="Arial" w:hAnsi="Arial" w:cs="Arial"/>
          <w:sz w:val="24"/>
          <w:szCs w:val="24"/>
          <w:lang w:val="es-CO"/>
        </w:rPr>
        <w:t>Demanda archivada por falta de subsanación dentro del término legal.</w:t>
      </w:r>
    </w:p>
    <w:p w:rsidR="00BF6BFA" w:rsidRPr="005128A1" w:rsidRDefault="00BF6BFA" w:rsidP="00BF6BFA">
      <w:pPr>
        <w:rPr>
          <w:lang w:val="es-CO"/>
        </w:rPr>
      </w:pPr>
    </w:p>
    <w:p w:rsidR="00BF6BFA" w:rsidRPr="00EE400F" w:rsidRDefault="00BF6BFA" w:rsidP="00BF6BFA">
      <w:pPr>
        <w:rPr>
          <w:lang w:val="es-CO"/>
        </w:rPr>
      </w:pPr>
    </w:p>
    <w:p w:rsidR="00BF6BFA" w:rsidRPr="00D61B73" w:rsidRDefault="00BF6BFA" w:rsidP="00BF6BFA">
      <w:pPr>
        <w:rPr>
          <w:lang w:val="es-CO"/>
        </w:rPr>
      </w:pPr>
    </w:p>
    <w:p w:rsidR="00BF6BFA" w:rsidRPr="006542A0" w:rsidRDefault="00BF6BFA" w:rsidP="00BF6BFA">
      <w:pPr>
        <w:rPr>
          <w:lang w:val="es-CO"/>
        </w:rPr>
      </w:pPr>
    </w:p>
    <w:p w:rsidR="00BF6BFA" w:rsidRPr="0099282B" w:rsidRDefault="00BF6BFA" w:rsidP="00BF6BFA">
      <w:pPr>
        <w:rPr>
          <w:lang w:val="es-CO"/>
        </w:rPr>
      </w:pPr>
    </w:p>
    <w:p w:rsidR="00F27CCC" w:rsidRPr="00BF6BFA" w:rsidRDefault="00515DE5">
      <w:pPr>
        <w:rPr>
          <w:lang w:val="es-CO"/>
        </w:rPr>
      </w:pPr>
    </w:p>
    <w:sectPr w:rsidR="00F27CCC" w:rsidRPr="00BF6BFA" w:rsidSect="00D92E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E5" w:rsidRDefault="00515DE5" w:rsidP="00BF6BFA">
      <w:pPr>
        <w:spacing w:after="0" w:line="240" w:lineRule="auto"/>
      </w:pPr>
      <w:r>
        <w:separator/>
      </w:r>
    </w:p>
  </w:endnote>
  <w:endnote w:type="continuationSeparator" w:id="0">
    <w:p w:rsidR="00515DE5" w:rsidRDefault="00515DE5" w:rsidP="00BF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834"/>
      <w:gridCol w:w="2835"/>
      <w:gridCol w:w="2835"/>
    </w:tblGrid>
    <w:tr w:rsidR="46F2884F" w:rsidTr="46F2884F">
      <w:tc>
        <w:tcPr>
          <w:tcW w:w="2835" w:type="dxa"/>
        </w:tcPr>
        <w:p w:rsidR="46F2884F" w:rsidRDefault="00515DE5" w:rsidP="46F2884F">
          <w:pPr>
            <w:pStyle w:val="Encabezado"/>
            <w:ind w:left="-115"/>
          </w:pPr>
        </w:p>
      </w:tc>
      <w:tc>
        <w:tcPr>
          <w:tcW w:w="2835" w:type="dxa"/>
        </w:tcPr>
        <w:p w:rsidR="46F2884F" w:rsidRDefault="00515DE5" w:rsidP="46F2884F">
          <w:pPr>
            <w:pStyle w:val="Encabezado"/>
            <w:jc w:val="center"/>
          </w:pPr>
        </w:p>
      </w:tc>
      <w:tc>
        <w:tcPr>
          <w:tcW w:w="2835" w:type="dxa"/>
        </w:tcPr>
        <w:p w:rsidR="46F2884F" w:rsidRDefault="00515DE5" w:rsidP="46F2884F">
          <w:pPr>
            <w:pStyle w:val="Encabezado"/>
            <w:ind w:right="-115"/>
            <w:jc w:val="right"/>
          </w:pPr>
        </w:p>
      </w:tc>
    </w:tr>
  </w:tbl>
  <w:p w:rsidR="46F2884F" w:rsidRDefault="00515DE5" w:rsidP="46F288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E5" w:rsidRDefault="00515DE5" w:rsidP="00BF6BFA">
      <w:pPr>
        <w:spacing w:after="0" w:line="240" w:lineRule="auto"/>
      </w:pPr>
      <w:r>
        <w:separator/>
      </w:r>
    </w:p>
  </w:footnote>
  <w:footnote w:type="continuationSeparator" w:id="0">
    <w:p w:rsidR="00515DE5" w:rsidRDefault="00515DE5" w:rsidP="00BF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834"/>
      <w:gridCol w:w="2835"/>
      <w:gridCol w:w="2835"/>
    </w:tblGrid>
    <w:tr w:rsidR="46F2884F" w:rsidTr="61A3844D">
      <w:tc>
        <w:tcPr>
          <w:tcW w:w="2835" w:type="dxa"/>
        </w:tcPr>
        <w:p w:rsidR="46F2884F" w:rsidRDefault="00BF6BFA" w:rsidP="46F2884F">
          <w:pPr>
            <w:pStyle w:val="Encabezado"/>
            <w:ind w:left="-115"/>
          </w:pPr>
          <w:r>
            <w:t>EXP. D-10067</w:t>
          </w:r>
        </w:p>
      </w:tc>
      <w:tc>
        <w:tcPr>
          <w:tcW w:w="2835" w:type="dxa"/>
        </w:tcPr>
        <w:p w:rsidR="46F2884F" w:rsidRDefault="00515DE5" w:rsidP="46F2884F">
          <w:pPr>
            <w:pStyle w:val="Encabezado"/>
            <w:jc w:val="center"/>
          </w:pPr>
        </w:p>
      </w:tc>
      <w:tc>
        <w:tcPr>
          <w:tcW w:w="2835" w:type="dxa"/>
        </w:tcPr>
        <w:p w:rsidR="46F2884F" w:rsidRDefault="00515DE5" w:rsidP="46F2884F">
          <w:pPr>
            <w:pStyle w:val="Encabezado"/>
            <w:ind w:right="-115"/>
            <w:jc w:val="right"/>
          </w:pPr>
        </w:p>
      </w:tc>
    </w:tr>
    <w:tr w:rsidR="00060E3E" w:rsidTr="61A3844D">
      <w:tc>
        <w:tcPr>
          <w:tcW w:w="2835" w:type="dxa"/>
        </w:tcPr>
        <w:p w:rsidR="00060E3E" w:rsidRDefault="00515DE5" w:rsidP="46F2884F">
          <w:pPr>
            <w:pStyle w:val="Encabezado"/>
            <w:ind w:left="-115"/>
          </w:pPr>
        </w:p>
      </w:tc>
      <w:tc>
        <w:tcPr>
          <w:tcW w:w="2835" w:type="dxa"/>
        </w:tcPr>
        <w:p w:rsidR="00060E3E" w:rsidRDefault="00515DE5" w:rsidP="46F2884F">
          <w:pPr>
            <w:pStyle w:val="Encabezado"/>
            <w:jc w:val="center"/>
          </w:pPr>
        </w:p>
      </w:tc>
      <w:tc>
        <w:tcPr>
          <w:tcW w:w="2835" w:type="dxa"/>
        </w:tcPr>
        <w:p w:rsidR="00060E3E" w:rsidRDefault="00515DE5" w:rsidP="46F2884F">
          <w:pPr>
            <w:pStyle w:val="Encabezado"/>
            <w:ind w:right="-115"/>
            <w:jc w:val="right"/>
          </w:pPr>
        </w:p>
      </w:tc>
    </w:tr>
  </w:tbl>
  <w:p w:rsidR="46F2884F" w:rsidRDefault="00515DE5" w:rsidP="46F288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034A"/>
    <w:multiLevelType w:val="hybridMultilevel"/>
    <w:tmpl w:val="3762319C"/>
    <w:lvl w:ilvl="0" w:tplc="0E40020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F6B83"/>
    <w:multiLevelType w:val="hybridMultilevel"/>
    <w:tmpl w:val="7A78E1D6"/>
    <w:lvl w:ilvl="0" w:tplc="8FB81B78">
      <w:start w:val="1"/>
      <w:numFmt w:val="upperRoman"/>
      <w:lvlText w:val="%1."/>
      <w:lvlJc w:val="left"/>
      <w:pPr>
        <w:ind w:left="720" w:hanging="360"/>
      </w:pPr>
    </w:lvl>
    <w:lvl w:ilvl="1" w:tplc="3DD22392">
      <w:start w:val="1"/>
      <w:numFmt w:val="lowerLetter"/>
      <w:lvlText w:val="%2."/>
      <w:lvlJc w:val="left"/>
      <w:pPr>
        <w:ind w:left="1440" w:hanging="360"/>
      </w:pPr>
    </w:lvl>
    <w:lvl w:ilvl="2" w:tplc="0E5641A2">
      <w:start w:val="1"/>
      <w:numFmt w:val="lowerRoman"/>
      <w:lvlText w:val="%3."/>
      <w:lvlJc w:val="right"/>
      <w:pPr>
        <w:ind w:left="2160" w:hanging="180"/>
      </w:pPr>
    </w:lvl>
    <w:lvl w:ilvl="3" w:tplc="45E610AE">
      <w:start w:val="1"/>
      <w:numFmt w:val="decimal"/>
      <w:lvlText w:val="%4."/>
      <w:lvlJc w:val="left"/>
      <w:pPr>
        <w:ind w:left="2880" w:hanging="360"/>
      </w:pPr>
    </w:lvl>
    <w:lvl w:ilvl="4" w:tplc="4CA26466">
      <w:start w:val="1"/>
      <w:numFmt w:val="lowerLetter"/>
      <w:lvlText w:val="%5."/>
      <w:lvlJc w:val="left"/>
      <w:pPr>
        <w:ind w:left="3600" w:hanging="360"/>
      </w:pPr>
    </w:lvl>
    <w:lvl w:ilvl="5" w:tplc="31505152">
      <w:start w:val="1"/>
      <w:numFmt w:val="lowerRoman"/>
      <w:lvlText w:val="%6."/>
      <w:lvlJc w:val="right"/>
      <w:pPr>
        <w:ind w:left="4320" w:hanging="180"/>
      </w:pPr>
    </w:lvl>
    <w:lvl w:ilvl="6" w:tplc="4A38D2AA">
      <w:start w:val="1"/>
      <w:numFmt w:val="decimal"/>
      <w:lvlText w:val="%7."/>
      <w:lvlJc w:val="left"/>
      <w:pPr>
        <w:ind w:left="5040" w:hanging="360"/>
      </w:pPr>
    </w:lvl>
    <w:lvl w:ilvl="7" w:tplc="8492772A">
      <w:start w:val="1"/>
      <w:numFmt w:val="lowerLetter"/>
      <w:lvlText w:val="%8."/>
      <w:lvlJc w:val="left"/>
      <w:pPr>
        <w:ind w:left="5760" w:hanging="360"/>
      </w:pPr>
    </w:lvl>
    <w:lvl w:ilvl="8" w:tplc="F6BAF7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FA"/>
    <w:rsid w:val="00054260"/>
    <w:rsid w:val="00515DE5"/>
    <w:rsid w:val="005566A2"/>
    <w:rsid w:val="006B30B0"/>
    <w:rsid w:val="007268DD"/>
    <w:rsid w:val="008976F6"/>
    <w:rsid w:val="00A8016C"/>
    <w:rsid w:val="00AA5D13"/>
    <w:rsid w:val="00AF6056"/>
    <w:rsid w:val="00BF6BFA"/>
    <w:rsid w:val="00D03AF5"/>
    <w:rsid w:val="00EB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08AA0B-BC5E-4E80-8155-3C47A0E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BF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F6BFA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BF6BFA"/>
  </w:style>
  <w:style w:type="paragraph" w:styleId="Encabezado">
    <w:name w:val="header"/>
    <w:basedOn w:val="Normal"/>
    <w:link w:val="EncabezadoCar"/>
    <w:uiPriority w:val="99"/>
    <w:unhideWhenUsed/>
    <w:rsid w:val="00BF6BF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1">
    <w:name w:val="Encabezado Car1"/>
    <w:basedOn w:val="Fuentedeprrafopredeter"/>
    <w:uiPriority w:val="99"/>
    <w:semiHidden/>
    <w:rsid w:val="00BF6BFA"/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F6BFA"/>
  </w:style>
  <w:style w:type="paragraph" w:styleId="Piedepgina">
    <w:name w:val="footer"/>
    <w:basedOn w:val="Normal"/>
    <w:link w:val="PiedepginaCar"/>
    <w:uiPriority w:val="99"/>
    <w:unhideWhenUsed/>
    <w:rsid w:val="00BF6BF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PiedepginaCar1">
    <w:name w:val="Pie de página Car1"/>
    <w:basedOn w:val="Fuentedeprrafopredeter"/>
    <w:uiPriority w:val="99"/>
    <w:semiHidden/>
    <w:rsid w:val="00BF6BFA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GIL MONICA</dc:creator>
  <cp:keywords/>
  <dc:description/>
  <cp:lastModifiedBy>LEON GIL MONICA</cp:lastModifiedBy>
  <cp:revision>46</cp:revision>
  <dcterms:created xsi:type="dcterms:W3CDTF">2017-02-22T18:36:00Z</dcterms:created>
  <dcterms:modified xsi:type="dcterms:W3CDTF">2017-02-22T19:52:00Z</dcterms:modified>
</cp:coreProperties>
</file>