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410"/>
        <w:gridCol w:w="6345"/>
      </w:tblGrid>
      <w:tr w:rsidR="006004BC" w:rsidRPr="00C96260" w:rsidTr="00DD45A7">
        <w:tc>
          <w:tcPr>
            <w:tcW w:w="2370" w:type="dxa"/>
          </w:tcPr>
          <w:p w:rsidR="006004BC" w:rsidRPr="00C96260" w:rsidRDefault="006004BC" w:rsidP="00DD45A7">
            <w:pPr>
              <w:spacing w:after="0" w:line="240" w:lineRule="auto"/>
              <w:jc w:val="both"/>
              <w:rPr>
                <w:rFonts w:ascii="Arial" w:hAnsi="Arial" w:cs="Arial"/>
                <w:sz w:val="24"/>
                <w:szCs w:val="24"/>
                <w:lang w:val="es-CO"/>
              </w:rPr>
            </w:pPr>
            <w:r w:rsidRPr="378087AC">
              <w:rPr>
                <w:rFonts w:ascii="Arial" w:eastAsia="Arial" w:hAnsi="Arial" w:cs="Arial"/>
                <w:sz w:val="24"/>
                <w:szCs w:val="24"/>
                <w:lang w:val="es-CO"/>
              </w:rPr>
              <w:t>Número de expediente</w:t>
            </w:r>
          </w:p>
        </w:tc>
        <w:tc>
          <w:tcPr>
            <w:tcW w:w="6240" w:type="dxa"/>
          </w:tcPr>
          <w:p w:rsidR="006004BC" w:rsidRPr="00C96260" w:rsidRDefault="006004BC" w:rsidP="00DD45A7">
            <w:pPr>
              <w:spacing w:after="0" w:line="240" w:lineRule="auto"/>
              <w:jc w:val="both"/>
              <w:rPr>
                <w:rFonts w:ascii="Arial" w:hAnsi="Arial" w:cs="Arial"/>
                <w:sz w:val="24"/>
                <w:szCs w:val="24"/>
                <w:lang w:val="es-CO"/>
              </w:rPr>
            </w:pPr>
            <w:r>
              <w:rPr>
                <w:rFonts w:ascii="Arial" w:eastAsia="Arial" w:hAnsi="Arial" w:cs="Arial"/>
                <w:sz w:val="24"/>
                <w:szCs w:val="24"/>
                <w:lang w:val="es-CO"/>
              </w:rPr>
              <w:t>D-12448</w:t>
            </w:r>
          </w:p>
        </w:tc>
      </w:tr>
      <w:tr w:rsidR="006004BC" w:rsidRPr="00C96260" w:rsidTr="00DD45A7">
        <w:tc>
          <w:tcPr>
            <w:tcW w:w="2370" w:type="dxa"/>
          </w:tcPr>
          <w:p w:rsidR="006004BC" w:rsidRPr="00C96260" w:rsidRDefault="006004BC" w:rsidP="00DD45A7">
            <w:pPr>
              <w:spacing w:after="0" w:line="240" w:lineRule="auto"/>
              <w:jc w:val="both"/>
              <w:rPr>
                <w:rFonts w:ascii="Arial" w:hAnsi="Arial" w:cs="Arial"/>
                <w:sz w:val="24"/>
                <w:szCs w:val="24"/>
                <w:lang w:val="es-CO"/>
              </w:rPr>
            </w:pPr>
            <w:r w:rsidRPr="378087AC">
              <w:rPr>
                <w:rFonts w:ascii="Arial" w:eastAsia="Arial" w:hAnsi="Arial" w:cs="Arial"/>
                <w:sz w:val="24"/>
                <w:szCs w:val="24"/>
                <w:lang w:val="es-CO"/>
              </w:rPr>
              <w:t>Magistrado Ponente</w:t>
            </w:r>
          </w:p>
        </w:tc>
        <w:tc>
          <w:tcPr>
            <w:tcW w:w="6240" w:type="dxa"/>
          </w:tcPr>
          <w:p w:rsidR="006004BC" w:rsidRPr="00C96260" w:rsidRDefault="006004BC" w:rsidP="00DD45A7">
            <w:pPr>
              <w:spacing w:after="0" w:line="240" w:lineRule="auto"/>
              <w:jc w:val="both"/>
              <w:rPr>
                <w:rFonts w:ascii="Arial" w:hAnsi="Arial" w:cs="Arial"/>
                <w:sz w:val="24"/>
                <w:szCs w:val="24"/>
                <w:lang w:val="es-CO"/>
              </w:rPr>
            </w:pPr>
            <w:r>
              <w:rPr>
                <w:rFonts w:ascii="Arial" w:hAnsi="Arial" w:cs="Arial"/>
                <w:sz w:val="24"/>
                <w:szCs w:val="24"/>
                <w:lang w:val="es-CO"/>
              </w:rPr>
              <w:t>José Fernando Reyes Cuartas</w:t>
            </w:r>
          </w:p>
        </w:tc>
      </w:tr>
      <w:tr w:rsidR="006004BC" w:rsidRPr="00C96260" w:rsidTr="00DD45A7">
        <w:tc>
          <w:tcPr>
            <w:tcW w:w="2370" w:type="dxa"/>
          </w:tcPr>
          <w:p w:rsidR="006004BC" w:rsidRPr="00C96260" w:rsidRDefault="006004BC" w:rsidP="00DD45A7">
            <w:pPr>
              <w:spacing w:after="0" w:line="240" w:lineRule="auto"/>
              <w:jc w:val="both"/>
              <w:rPr>
                <w:rFonts w:ascii="Arial" w:hAnsi="Arial" w:cs="Arial"/>
                <w:sz w:val="24"/>
                <w:szCs w:val="24"/>
                <w:lang w:val="es-CO"/>
              </w:rPr>
            </w:pPr>
            <w:r w:rsidRPr="378087AC">
              <w:rPr>
                <w:rFonts w:ascii="Arial" w:eastAsia="Arial" w:hAnsi="Arial" w:cs="Arial"/>
                <w:sz w:val="24"/>
                <w:szCs w:val="24"/>
                <w:lang w:val="es-CO"/>
              </w:rPr>
              <w:t>Fecha</w:t>
            </w:r>
          </w:p>
        </w:tc>
        <w:tc>
          <w:tcPr>
            <w:tcW w:w="6240" w:type="dxa"/>
          </w:tcPr>
          <w:p w:rsidR="006004BC" w:rsidRPr="00C96260" w:rsidRDefault="006004BC" w:rsidP="00DD45A7">
            <w:pPr>
              <w:spacing w:after="0" w:line="240" w:lineRule="auto"/>
              <w:jc w:val="both"/>
              <w:rPr>
                <w:rFonts w:ascii="Arial" w:hAnsi="Arial" w:cs="Arial"/>
                <w:sz w:val="24"/>
                <w:szCs w:val="24"/>
                <w:lang w:val="es-CO"/>
              </w:rPr>
            </w:pPr>
            <w:r>
              <w:rPr>
                <w:rFonts w:ascii="Arial" w:hAnsi="Arial" w:cs="Arial"/>
                <w:sz w:val="24"/>
                <w:szCs w:val="24"/>
                <w:lang w:val="es-CO"/>
              </w:rPr>
              <w:t>9 de noviembre de 2017</w:t>
            </w:r>
          </w:p>
        </w:tc>
      </w:tr>
      <w:tr w:rsidR="006004BC" w:rsidRPr="00C96260" w:rsidTr="00DD45A7">
        <w:tc>
          <w:tcPr>
            <w:tcW w:w="2370" w:type="dxa"/>
          </w:tcPr>
          <w:p w:rsidR="006004BC" w:rsidRPr="00C96260" w:rsidRDefault="006004BC" w:rsidP="00DD45A7">
            <w:pPr>
              <w:spacing w:after="0" w:line="240" w:lineRule="auto"/>
              <w:jc w:val="both"/>
              <w:rPr>
                <w:rFonts w:ascii="Arial" w:hAnsi="Arial" w:cs="Arial"/>
                <w:sz w:val="24"/>
                <w:szCs w:val="24"/>
                <w:lang w:val="es-CO"/>
              </w:rPr>
            </w:pPr>
            <w:r w:rsidRPr="378087AC">
              <w:rPr>
                <w:rFonts w:ascii="Arial" w:eastAsia="Arial" w:hAnsi="Arial" w:cs="Arial"/>
                <w:sz w:val="24"/>
                <w:szCs w:val="24"/>
                <w:lang w:val="es-CO"/>
              </w:rPr>
              <w:t>Tema</w:t>
            </w:r>
          </w:p>
        </w:tc>
        <w:tc>
          <w:tcPr>
            <w:tcW w:w="6240" w:type="dxa"/>
          </w:tcPr>
          <w:p w:rsidR="006004BC" w:rsidRPr="00C96260" w:rsidRDefault="006004BC" w:rsidP="00DD45A7">
            <w:pPr>
              <w:spacing w:after="0" w:line="240" w:lineRule="auto"/>
              <w:jc w:val="both"/>
              <w:rPr>
                <w:rFonts w:ascii="Arial" w:hAnsi="Arial" w:cs="Arial"/>
                <w:sz w:val="24"/>
                <w:szCs w:val="24"/>
                <w:lang w:val="es-CO"/>
              </w:rPr>
            </w:pPr>
            <w:r>
              <w:rPr>
                <w:rFonts w:ascii="Arial" w:hAnsi="Arial" w:cs="Arial"/>
                <w:sz w:val="24"/>
                <w:szCs w:val="24"/>
                <w:lang w:val="es-CO"/>
              </w:rPr>
              <w:t>Competencia territorial: Fuero general y fueros de familia</w:t>
            </w:r>
          </w:p>
        </w:tc>
      </w:tr>
      <w:tr w:rsidR="006004BC" w:rsidRPr="00C96260" w:rsidTr="00DD45A7">
        <w:tc>
          <w:tcPr>
            <w:tcW w:w="2370" w:type="dxa"/>
          </w:tcPr>
          <w:p w:rsidR="006004BC" w:rsidRPr="00C96260" w:rsidRDefault="006004BC" w:rsidP="00DD45A7">
            <w:pPr>
              <w:spacing w:after="0" w:line="240" w:lineRule="auto"/>
              <w:jc w:val="both"/>
              <w:rPr>
                <w:rFonts w:ascii="Arial" w:hAnsi="Arial" w:cs="Arial"/>
                <w:sz w:val="24"/>
                <w:szCs w:val="24"/>
                <w:lang w:val="es-CO"/>
              </w:rPr>
            </w:pPr>
            <w:r w:rsidRPr="378087AC">
              <w:rPr>
                <w:rFonts w:ascii="Arial" w:eastAsia="Arial" w:hAnsi="Arial" w:cs="Arial"/>
                <w:sz w:val="24"/>
                <w:szCs w:val="24"/>
                <w:lang w:val="es-CO"/>
              </w:rPr>
              <w:t>Norma demandada</w:t>
            </w:r>
          </w:p>
        </w:tc>
        <w:tc>
          <w:tcPr>
            <w:tcW w:w="6240" w:type="dxa"/>
          </w:tcPr>
          <w:p w:rsidR="006004BC" w:rsidRDefault="006004BC" w:rsidP="00DD45A7">
            <w:pPr>
              <w:contextualSpacing/>
              <w:jc w:val="both"/>
              <w:rPr>
                <w:rFonts w:ascii="Arial" w:hAnsi="Arial" w:cs="Arial"/>
                <w:b/>
                <w:bCs/>
                <w:i/>
                <w:iCs/>
                <w:sz w:val="24"/>
                <w:szCs w:val="24"/>
                <w:lang w:val="es-CO"/>
              </w:rPr>
            </w:pPr>
            <w:r w:rsidRPr="000D3A4E">
              <w:rPr>
                <w:rFonts w:ascii="Arial" w:hAnsi="Arial" w:cs="Arial"/>
                <w:b/>
                <w:bCs/>
                <w:sz w:val="24"/>
                <w:szCs w:val="24"/>
                <w:lang w:val="es-CO"/>
              </w:rPr>
              <w:t xml:space="preserve">Artículo </w:t>
            </w:r>
            <w:r>
              <w:rPr>
                <w:rFonts w:ascii="Arial" w:hAnsi="Arial" w:cs="Arial"/>
                <w:b/>
                <w:bCs/>
                <w:sz w:val="24"/>
                <w:szCs w:val="24"/>
                <w:lang w:val="es-CO"/>
              </w:rPr>
              <w:t>28. Numerales 1 y 2 parciales: Fuero general y fueros de familia</w:t>
            </w:r>
            <w:r w:rsidRPr="000D3A4E">
              <w:rPr>
                <w:rFonts w:ascii="Arial" w:hAnsi="Arial" w:cs="Arial"/>
                <w:b/>
                <w:bCs/>
                <w:i/>
                <w:iCs/>
                <w:sz w:val="24"/>
                <w:szCs w:val="24"/>
                <w:lang w:val="es-CO"/>
              </w:rPr>
              <w:t> </w:t>
            </w:r>
          </w:p>
          <w:p w:rsidR="006004BC" w:rsidRDefault="006004BC" w:rsidP="00DD45A7">
            <w:pPr>
              <w:contextualSpacing/>
              <w:jc w:val="both"/>
              <w:rPr>
                <w:rFonts w:ascii="Arial" w:hAnsi="Arial" w:cs="Arial"/>
                <w:b/>
                <w:bCs/>
                <w:i/>
                <w:iCs/>
                <w:sz w:val="24"/>
                <w:szCs w:val="24"/>
                <w:lang w:val="es-CO"/>
              </w:rPr>
            </w:pPr>
          </w:p>
          <w:p w:rsidR="006004BC" w:rsidRPr="006004BC" w:rsidRDefault="006004BC" w:rsidP="006004BC">
            <w:pPr>
              <w:contextualSpacing/>
              <w:jc w:val="both"/>
              <w:rPr>
                <w:rFonts w:ascii="Arial" w:hAnsi="Arial" w:cs="Arial"/>
                <w:bCs/>
                <w:i/>
                <w:sz w:val="24"/>
                <w:szCs w:val="24"/>
                <w:lang w:val="es-CO"/>
              </w:rPr>
            </w:pPr>
            <w:r w:rsidRPr="006004BC">
              <w:rPr>
                <w:rFonts w:ascii="Arial" w:hAnsi="Arial" w:cs="Arial"/>
                <w:bCs/>
                <w:i/>
                <w:sz w:val="24"/>
                <w:szCs w:val="24"/>
                <w:lang w:val="es-CO"/>
              </w:rPr>
              <w:t>“La competencia territorial se sujeta a las siguientes reglas:</w:t>
            </w:r>
          </w:p>
          <w:p w:rsidR="006004BC" w:rsidRPr="006004BC" w:rsidRDefault="006004BC" w:rsidP="006004BC">
            <w:pPr>
              <w:contextualSpacing/>
              <w:jc w:val="both"/>
              <w:rPr>
                <w:rFonts w:ascii="Arial" w:hAnsi="Arial" w:cs="Arial"/>
                <w:bCs/>
                <w:i/>
                <w:sz w:val="24"/>
                <w:szCs w:val="24"/>
                <w:lang w:val="es-CO"/>
              </w:rPr>
            </w:pPr>
          </w:p>
          <w:p w:rsidR="006004BC" w:rsidRPr="006004BC" w:rsidRDefault="006004BC" w:rsidP="006004BC">
            <w:pPr>
              <w:contextualSpacing/>
              <w:jc w:val="both"/>
              <w:rPr>
                <w:rFonts w:ascii="Arial" w:hAnsi="Arial" w:cs="Arial"/>
                <w:bCs/>
                <w:i/>
                <w:sz w:val="24"/>
                <w:szCs w:val="24"/>
                <w:lang w:val="es-CO"/>
              </w:rPr>
            </w:pPr>
            <w:r w:rsidRPr="006004BC">
              <w:rPr>
                <w:rFonts w:ascii="Arial" w:hAnsi="Arial" w:cs="Arial"/>
                <w:bCs/>
                <w:i/>
                <w:sz w:val="24"/>
                <w:szCs w:val="24"/>
                <w:lang w:val="es-CO"/>
              </w:rPr>
              <w:t xml:space="preserve">1. En los procesos contenciosos, salvo disposición legal en contrario, es competente el juez del domicilio del demandado. Si son varios los demandados o el demandado tiene varios domicilios, el de cualquiera de ellos a elección del demandante. </w:t>
            </w:r>
            <w:r w:rsidRPr="006004BC">
              <w:rPr>
                <w:rFonts w:ascii="Arial" w:hAnsi="Arial" w:cs="Arial"/>
                <w:bCs/>
                <w:i/>
                <w:sz w:val="24"/>
                <w:szCs w:val="24"/>
                <w:u w:val="single"/>
                <w:lang w:val="es-CO"/>
              </w:rPr>
              <w:t>Cuando el demandado carezca de domicilio en el país, será competente el juez de su residencia. Cuando tampoco tenga residencia en el país o esta se desconozca, será competente el juez del domicilio o de la residencia del demandante.</w:t>
            </w:r>
          </w:p>
          <w:p w:rsidR="006004BC" w:rsidRPr="006004BC" w:rsidRDefault="006004BC" w:rsidP="006004BC">
            <w:pPr>
              <w:contextualSpacing/>
              <w:jc w:val="both"/>
              <w:rPr>
                <w:rFonts w:ascii="Arial" w:hAnsi="Arial" w:cs="Arial"/>
                <w:bCs/>
                <w:i/>
                <w:sz w:val="24"/>
                <w:szCs w:val="24"/>
                <w:lang w:val="es-CO"/>
              </w:rPr>
            </w:pPr>
          </w:p>
          <w:p w:rsidR="006004BC" w:rsidRPr="006004BC" w:rsidRDefault="006004BC" w:rsidP="006004BC">
            <w:pPr>
              <w:contextualSpacing/>
              <w:jc w:val="both"/>
              <w:rPr>
                <w:rFonts w:ascii="Arial" w:hAnsi="Arial" w:cs="Arial"/>
                <w:bCs/>
                <w:i/>
                <w:sz w:val="24"/>
                <w:szCs w:val="24"/>
                <w:u w:val="single"/>
                <w:lang w:val="es-CO"/>
              </w:rPr>
            </w:pPr>
            <w:r w:rsidRPr="006004BC">
              <w:rPr>
                <w:rFonts w:ascii="Arial" w:hAnsi="Arial" w:cs="Arial"/>
                <w:bCs/>
                <w:i/>
                <w:sz w:val="24"/>
                <w:szCs w:val="24"/>
                <w:lang w:val="es-CO"/>
              </w:rPr>
              <w:t xml:space="preserve">2. En los procesos de alimentos, nulidad de matrimonio civil y divorcio, cesación de efectos civiles, separación de cuerpos y de bienes, declaración de existencia de unión marital de hecho, liquidación de sociedad conyugal o patrimonial y en las medidas cautelares sobre personas o bienes vinculados a tales procesos o a la nulidad de matrimonio católico, </w:t>
            </w:r>
            <w:r w:rsidRPr="006004BC">
              <w:rPr>
                <w:rFonts w:ascii="Arial" w:hAnsi="Arial" w:cs="Arial"/>
                <w:bCs/>
                <w:i/>
                <w:sz w:val="24"/>
                <w:szCs w:val="24"/>
                <w:u w:val="single"/>
                <w:lang w:val="es-CO"/>
              </w:rPr>
              <w:t>será también competente el juez que corresponda al domicilio común anterior, mientras el demandante lo conserve.</w:t>
            </w:r>
          </w:p>
          <w:p w:rsidR="006004BC" w:rsidRPr="006004BC" w:rsidRDefault="006004BC" w:rsidP="006004BC">
            <w:pPr>
              <w:contextualSpacing/>
              <w:jc w:val="both"/>
              <w:rPr>
                <w:rFonts w:ascii="Arial" w:hAnsi="Arial" w:cs="Arial"/>
                <w:bCs/>
                <w:i/>
                <w:sz w:val="24"/>
                <w:szCs w:val="24"/>
                <w:lang w:val="es-CO"/>
              </w:rPr>
            </w:pPr>
          </w:p>
          <w:p w:rsidR="006004BC" w:rsidRDefault="006004BC" w:rsidP="006004BC">
            <w:pPr>
              <w:contextualSpacing/>
              <w:jc w:val="both"/>
              <w:rPr>
                <w:rFonts w:ascii="Arial" w:hAnsi="Arial" w:cs="Arial"/>
                <w:bCs/>
                <w:sz w:val="24"/>
                <w:szCs w:val="24"/>
                <w:lang w:val="es-CO"/>
              </w:rPr>
            </w:pPr>
            <w:r w:rsidRPr="006004BC">
              <w:rPr>
                <w:rFonts w:ascii="Arial" w:hAnsi="Arial" w:cs="Arial"/>
                <w:bCs/>
                <w:i/>
                <w:sz w:val="24"/>
                <w:szCs w:val="24"/>
                <w:lang w:val="es-CO"/>
              </w:rPr>
              <w:t>En los procesos de alimentos, pérdida o suspensión de la patria potestad, investigación o impugnación de la paternidad o maternidad, custodias, cuidado personal y regulación de visitas, permisos para salir del país, medidas cautelares sobre personas o bienes vinculados a tales procesos, en los que el niño, niña o adolescente sea demandante o demandado, la competencia corresponde en forma privativa al juez del domicilio o residencia de aquel (…)’’</w:t>
            </w:r>
          </w:p>
          <w:p w:rsidR="006004BC" w:rsidRDefault="006004BC" w:rsidP="00DD45A7">
            <w:pPr>
              <w:contextualSpacing/>
              <w:rPr>
                <w:rFonts w:ascii="Arial" w:hAnsi="Arial" w:cs="Arial"/>
                <w:sz w:val="24"/>
                <w:szCs w:val="24"/>
              </w:rPr>
            </w:pPr>
          </w:p>
          <w:p w:rsidR="006004BC" w:rsidRPr="00C96260" w:rsidRDefault="006004BC" w:rsidP="00DD45A7">
            <w:pPr>
              <w:contextualSpacing/>
              <w:rPr>
                <w:rFonts w:ascii="Arial" w:hAnsi="Arial" w:cs="Arial"/>
                <w:sz w:val="24"/>
                <w:szCs w:val="24"/>
              </w:rPr>
            </w:pPr>
            <w:r>
              <w:rPr>
                <w:rFonts w:ascii="Arial" w:hAnsi="Arial" w:cs="Arial"/>
                <w:sz w:val="24"/>
                <w:szCs w:val="24"/>
              </w:rPr>
              <w:lastRenderedPageBreak/>
              <w:t>(Se subraya el texto demandado)</w:t>
            </w:r>
          </w:p>
        </w:tc>
      </w:tr>
    </w:tbl>
    <w:p w:rsidR="006004BC" w:rsidRPr="00910097" w:rsidRDefault="006004BC" w:rsidP="006004BC">
      <w:pPr>
        <w:jc w:val="both"/>
        <w:rPr>
          <w:rFonts w:ascii="Arial" w:hAnsi="Arial" w:cs="Arial"/>
          <w:b/>
          <w:sz w:val="24"/>
          <w:szCs w:val="24"/>
        </w:rPr>
      </w:pPr>
    </w:p>
    <w:p w:rsidR="006004BC" w:rsidRDefault="006004BC" w:rsidP="006004BC">
      <w:pPr>
        <w:pStyle w:val="Prrafodelista"/>
        <w:numPr>
          <w:ilvl w:val="0"/>
          <w:numId w:val="1"/>
        </w:numPr>
        <w:jc w:val="both"/>
        <w:rPr>
          <w:rFonts w:ascii="Arial" w:eastAsia="Arial" w:hAnsi="Arial" w:cs="Arial"/>
          <w:b/>
          <w:bCs/>
          <w:sz w:val="24"/>
          <w:szCs w:val="24"/>
          <w:lang w:val="es-CO"/>
        </w:rPr>
      </w:pPr>
      <w:r w:rsidRPr="001C0064">
        <w:rPr>
          <w:rFonts w:ascii="Arial" w:eastAsia="Arial" w:hAnsi="Arial" w:cs="Arial"/>
          <w:b/>
          <w:bCs/>
          <w:sz w:val="24"/>
          <w:szCs w:val="24"/>
          <w:lang w:val="es-CO"/>
        </w:rPr>
        <w:t>Cargos del accionante</w:t>
      </w:r>
    </w:p>
    <w:p w:rsidR="006004BC" w:rsidRDefault="006004BC" w:rsidP="006004BC">
      <w:pPr>
        <w:jc w:val="both"/>
        <w:rPr>
          <w:rFonts w:ascii="Arial" w:eastAsia="Arial" w:hAnsi="Arial" w:cs="Arial"/>
          <w:bCs/>
          <w:sz w:val="24"/>
          <w:szCs w:val="24"/>
          <w:lang w:val="es-CO"/>
        </w:rPr>
      </w:pPr>
      <w:r>
        <w:rPr>
          <w:rFonts w:ascii="Arial" w:eastAsia="Arial" w:hAnsi="Arial" w:cs="Arial"/>
          <w:bCs/>
          <w:sz w:val="24"/>
          <w:szCs w:val="24"/>
          <w:lang w:val="es-CO"/>
        </w:rPr>
        <w:t xml:space="preserve">El texto demandado vulnera </w:t>
      </w:r>
      <w:r w:rsidR="00214313">
        <w:rPr>
          <w:rFonts w:ascii="Arial" w:eastAsia="Arial" w:hAnsi="Arial" w:cs="Arial"/>
          <w:bCs/>
          <w:sz w:val="24"/>
          <w:szCs w:val="24"/>
          <w:lang w:val="es-CO"/>
        </w:rPr>
        <w:t>el artículo 42, inciso 11</w:t>
      </w:r>
      <w:r w:rsidR="0007619E">
        <w:rPr>
          <w:rFonts w:ascii="Arial" w:eastAsia="Arial" w:hAnsi="Arial" w:cs="Arial"/>
          <w:bCs/>
          <w:sz w:val="24"/>
          <w:szCs w:val="24"/>
          <w:lang w:val="es-CO"/>
        </w:rPr>
        <w:t>; el artículo 228 y el artículo 229</w:t>
      </w:r>
      <w:r w:rsidR="00214313">
        <w:rPr>
          <w:rFonts w:ascii="Arial" w:eastAsia="Arial" w:hAnsi="Arial" w:cs="Arial"/>
          <w:bCs/>
          <w:sz w:val="24"/>
          <w:szCs w:val="24"/>
          <w:lang w:val="es-CO"/>
        </w:rPr>
        <w:t xml:space="preserve"> de la Constitución Política</w:t>
      </w:r>
      <w:r w:rsidR="0007619E">
        <w:rPr>
          <w:rFonts w:ascii="Arial" w:eastAsia="Arial" w:hAnsi="Arial" w:cs="Arial"/>
          <w:bCs/>
          <w:sz w:val="24"/>
          <w:szCs w:val="24"/>
          <w:lang w:val="es-CO"/>
        </w:rPr>
        <w:t>.</w:t>
      </w:r>
    </w:p>
    <w:p w:rsidR="006004BC" w:rsidRDefault="006004BC" w:rsidP="00F57E77">
      <w:pPr>
        <w:jc w:val="both"/>
        <w:rPr>
          <w:rFonts w:ascii="Arial" w:eastAsia="Arial" w:hAnsi="Arial" w:cs="Arial"/>
          <w:bCs/>
          <w:sz w:val="24"/>
          <w:szCs w:val="24"/>
          <w:lang w:val="es-CO"/>
        </w:rPr>
      </w:pPr>
      <w:r>
        <w:rPr>
          <w:rFonts w:ascii="Arial" w:eastAsia="Arial" w:hAnsi="Arial" w:cs="Arial"/>
          <w:bCs/>
          <w:sz w:val="24"/>
          <w:szCs w:val="24"/>
          <w:lang w:val="es-CO"/>
        </w:rPr>
        <w:t xml:space="preserve">La norma en cuestión </w:t>
      </w:r>
      <w:r w:rsidR="00F57E77">
        <w:rPr>
          <w:rFonts w:ascii="Arial" w:eastAsia="Arial" w:hAnsi="Arial" w:cs="Arial"/>
          <w:bCs/>
          <w:sz w:val="24"/>
          <w:szCs w:val="24"/>
          <w:lang w:val="es-CO"/>
        </w:rPr>
        <w:t>no prevé algún juez competente en el territorio colombiano para resolver sobre demandas de divorcio promovidas por nacionales colombianos residentes en el extranjero, lo que produce la vulneración del artículo 42 constitucional en la medida en que no sería posible decretar el divorcio de conformidad con la ley civil colombiana; y una vulneración al derecho al acceso efectivo a la administración de justicia</w:t>
      </w:r>
      <w:r w:rsidR="0045211D">
        <w:rPr>
          <w:rFonts w:ascii="Arial" w:eastAsia="Arial" w:hAnsi="Arial" w:cs="Arial"/>
          <w:bCs/>
          <w:sz w:val="24"/>
          <w:szCs w:val="24"/>
          <w:lang w:val="es-CO"/>
        </w:rPr>
        <w:t xml:space="preserve"> para esos particulares, en la medida en que para obtener el divorcio deberán someterse a un Tribunal extranjero, que en principio no es su juez natural, y a leyes extranjeras, con una doble carga de acceso no justificada consistente en </w:t>
      </w:r>
      <w:r w:rsidR="00E845C2">
        <w:rPr>
          <w:rFonts w:ascii="Arial" w:eastAsia="Arial" w:hAnsi="Arial" w:cs="Arial"/>
          <w:bCs/>
          <w:sz w:val="24"/>
          <w:szCs w:val="24"/>
          <w:lang w:val="es-CO"/>
        </w:rPr>
        <w:t>que</w:t>
      </w:r>
      <w:r w:rsidR="003F290F">
        <w:rPr>
          <w:rFonts w:ascii="Arial" w:eastAsia="Arial" w:hAnsi="Arial" w:cs="Arial"/>
          <w:bCs/>
          <w:sz w:val="24"/>
          <w:szCs w:val="24"/>
          <w:lang w:val="es-CO"/>
        </w:rPr>
        <w:t>,</w:t>
      </w:r>
      <w:r w:rsidR="00E845C2">
        <w:rPr>
          <w:rFonts w:ascii="Arial" w:eastAsia="Arial" w:hAnsi="Arial" w:cs="Arial"/>
          <w:bCs/>
          <w:sz w:val="24"/>
          <w:szCs w:val="24"/>
          <w:lang w:val="es-CO"/>
        </w:rPr>
        <w:t xml:space="preserve"> para que dicho fallo</w:t>
      </w:r>
      <w:r w:rsidR="00753310">
        <w:rPr>
          <w:rFonts w:ascii="Arial" w:eastAsia="Arial" w:hAnsi="Arial" w:cs="Arial"/>
          <w:bCs/>
          <w:sz w:val="24"/>
          <w:szCs w:val="24"/>
          <w:lang w:val="es-CO"/>
        </w:rPr>
        <w:t xml:space="preserve"> de divorcio</w:t>
      </w:r>
      <w:r w:rsidR="00E845C2">
        <w:rPr>
          <w:rFonts w:ascii="Arial" w:eastAsia="Arial" w:hAnsi="Arial" w:cs="Arial"/>
          <w:bCs/>
          <w:sz w:val="24"/>
          <w:szCs w:val="24"/>
          <w:lang w:val="es-CO"/>
        </w:rPr>
        <w:t xml:space="preserve"> tenga efectos en el territorio colombiano y se pueda deducir de él las consecuencias de estado civil y patrimoniales</w:t>
      </w:r>
      <w:r w:rsidR="003F290F">
        <w:rPr>
          <w:rFonts w:ascii="Arial" w:eastAsia="Arial" w:hAnsi="Arial" w:cs="Arial"/>
          <w:bCs/>
          <w:sz w:val="24"/>
          <w:szCs w:val="24"/>
          <w:lang w:val="es-CO"/>
        </w:rPr>
        <w:t>,</w:t>
      </w:r>
      <w:r w:rsidR="00E845C2">
        <w:rPr>
          <w:rFonts w:ascii="Arial" w:eastAsia="Arial" w:hAnsi="Arial" w:cs="Arial"/>
          <w:bCs/>
          <w:sz w:val="24"/>
          <w:szCs w:val="24"/>
          <w:lang w:val="es-CO"/>
        </w:rPr>
        <w:t xml:space="preserve"> ese nacional deberá promover el trámite del exequatur ante la Corte Suprema de Justicia.</w:t>
      </w:r>
    </w:p>
    <w:p w:rsidR="006004BC" w:rsidRDefault="006004BC" w:rsidP="006004BC">
      <w:pPr>
        <w:pStyle w:val="Prrafodelista"/>
        <w:numPr>
          <w:ilvl w:val="0"/>
          <w:numId w:val="1"/>
        </w:numPr>
        <w:jc w:val="both"/>
        <w:rPr>
          <w:rFonts w:ascii="Arial" w:eastAsia="Arial" w:hAnsi="Arial" w:cs="Arial"/>
          <w:b/>
          <w:bCs/>
          <w:sz w:val="24"/>
          <w:szCs w:val="24"/>
          <w:lang w:val="es-CO"/>
        </w:rPr>
      </w:pPr>
      <w:r>
        <w:rPr>
          <w:rFonts w:ascii="Arial" w:eastAsia="Arial" w:hAnsi="Arial" w:cs="Arial"/>
          <w:b/>
          <w:bCs/>
          <w:sz w:val="24"/>
          <w:szCs w:val="24"/>
          <w:lang w:val="es-CO"/>
        </w:rPr>
        <w:t>Actuación</w:t>
      </w:r>
    </w:p>
    <w:p w:rsidR="006004BC" w:rsidRPr="00F85DCE" w:rsidRDefault="00214313" w:rsidP="0097012C">
      <w:pPr>
        <w:jc w:val="both"/>
        <w:rPr>
          <w:rFonts w:ascii="Arial" w:hAnsi="Arial" w:cs="Arial"/>
          <w:sz w:val="24"/>
          <w:szCs w:val="24"/>
        </w:rPr>
      </w:pPr>
      <w:r>
        <w:rPr>
          <w:rFonts w:ascii="Arial" w:hAnsi="Arial" w:cs="Arial"/>
          <w:sz w:val="24"/>
          <w:szCs w:val="24"/>
        </w:rPr>
        <w:t>La demanda se encuentra admitida por auto del 25 de enero de 2018, y se encuentran suspendidos los términos por la sala plena desde el 2 de febrero de 2018.</w:t>
      </w:r>
    </w:p>
    <w:p w:rsidR="008E4704" w:rsidRDefault="008E4704">
      <w:bookmarkStart w:id="0" w:name="_GoBack"/>
      <w:bookmarkEnd w:id="0"/>
    </w:p>
    <w:sectPr w:rsidR="008E470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E3A" w:rsidRDefault="002D3E3A" w:rsidP="00C446B4">
      <w:pPr>
        <w:spacing w:after="0" w:line="240" w:lineRule="auto"/>
      </w:pPr>
      <w:r>
        <w:separator/>
      </w:r>
    </w:p>
  </w:endnote>
  <w:endnote w:type="continuationSeparator" w:id="0">
    <w:p w:rsidR="002D3E3A" w:rsidRDefault="002D3E3A" w:rsidP="00C44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E3A" w:rsidRDefault="002D3E3A" w:rsidP="00C446B4">
      <w:pPr>
        <w:spacing w:after="0" w:line="240" w:lineRule="auto"/>
      </w:pPr>
      <w:r>
        <w:separator/>
      </w:r>
    </w:p>
  </w:footnote>
  <w:footnote w:type="continuationSeparator" w:id="0">
    <w:p w:rsidR="002D3E3A" w:rsidRDefault="002D3E3A" w:rsidP="00C44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156" w:rsidRPr="00921156" w:rsidRDefault="00C446B4">
    <w:pPr>
      <w:pStyle w:val="Encabezado"/>
      <w:rPr>
        <w:lang w:val="es-CO"/>
      </w:rPr>
    </w:pPr>
    <w:r>
      <w:rPr>
        <w:lang w:val="es-CO"/>
      </w:rPr>
      <w:t>EXP. D-12448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0445C9"/>
    <w:multiLevelType w:val="hybridMultilevel"/>
    <w:tmpl w:val="3DA8ADBA"/>
    <w:lvl w:ilvl="0" w:tplc="33989C5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4BC"/>
    <w:rsid w:val="0007619E"/>
    <w:rsid w:val="00214313"/>
    <w:rsid w:val="002D3E3A"/>
    <w:rsid w:val="003F290F"/>
    <w:rsid w:val="0045211D"/>
    <w:rsid w:val="006004BC"/>
    <w:rsid w:val="00753310"/>
    <w:rsid w:val="008E4704"/>
    <w:rsid w:val="0097012C"/>
    <w:rsid w:val="00B5372A"/>
    <w:rsid w:val="00C446B4"/>
    <w:rsid w:val="00E845C2"/>
    <w:rsid w:val="00F57E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31A62-88B1-4B78-B43C-6AE49602D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4BC"/>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04BC"/>
    <w:pPr>
      <w:ind w:left="720"/>
      <w:contextualSpacing/>
    </w:pPr>
  </w:style>
  <w:style w:type="paragraph" w:styleId="Encabezado">
    <w:name w:val="header"/>
    <w:basedOn w:val="Normal"/>
    <w:link w:val="EncabezadoCar"/>
    <w:uiPriority w:val="99"/>
    <w:unhideWhenUsed/>
    <w:rsid w:val="006004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04BC"/>
    <w:rPr>
      <w:rFonts w:ascii="Calibri" w:eastAsia="Calibri" w:hAnsi="Calibri" w:cs="Times New Roman"/>
      <w:lang w:val="es-ES"/>
    </w:rPr>
  </w:style>
  <w:style w:type="paragraph" w:styleId="Piedepgina">
    <w:name w:val="footer"/>
    <w:basedOn w:val="Normal"/>
    <w:link w:val="PiedepginaCar"/>
    <w:uiPriority w:val="99"/>
    <w:unhideWhenUsed/>
    <w:rsid w:val="00C446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46B4"/>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14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458</Words>
  <Characters>2524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COORDINACION DERECHO PROCESAL</dc:creator>
  <cp:keywords/>
  <dc:description/>
  <cp:lastModifiedBy>LEON GIL MONICA</cp:lastModifiedBy>
  <cp:revision>59</cp:revision>
  <dcterms:created xsi:type="dcterms:W3CDTF">2018-05-30T19:54:00Z</dcterms:created>
  <dcterms:modified xsi:type="dcterms:W3CDTF">2018-06-12T14:16:00Z</dcterms:modified>
</cp:coreProperties>
</file>