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6706"/>
      </w:tblGrid>
      <w:tr w:rsidR="003B0087" w:rsidRPr="00CA2D06" w:rsidTr="00803EAE">
        <w:tc>
          <w:tcPr>
            <w:tcW w:w="2122" w:type="dxa"/>
          </w:tcPr>
          <w:p w:rsidR="003B0087" w:rsidRPr="00CA2D06" w:rsidRDefault="003B0087" w:rsidP="003B0087">
            <w:pPr>
              <w:rPr>
                <w:rFonts w:ascii="Arial" w:hAnsi="Arial" w:cs="Arial"/>
                <w:sz w:val="24"/>
                <w:szCs w:val="24"/>
              </w:rPr>
            </w:pPr>
            <w:r w:rsidRPr="00CA2D06">
              <w:rPr>
                <w:rFonts w:ascii="Arial" w:hAnsi="Arial" w:cs="Arial"/>
                <w:sz w:val="24"/>
                <w:szCs w:val="24"/>
              </w:rPr>
              <w:t>Número de expediente</w:t>
            </w:r>
          </w:p>
        </w:tc>
        <w:tc>
          <w:tcPr>
            <w:tcW w:w="6706" w:type="dxa"/>
          </w:tcPr>
          <w:p w:rsidR="007F297E" w:rsidRPr="00CA2D06" w:rsidRDefault="00717D0C" w:rsidP="003B0087">
            <w:pPr>
              <w:rPr>
                <w:rFonts w:ascii="Arial" w:hAnsi="Arial" w:cs="Arial"/>
                <w:sz w:val="24"/>
                <w:szCs w:val="24"/>
              </w:rPr>
            </w:pPr>
            <w:r w:rsidRPr="00CA2D06">
              <w:rPr>
                <w:rFonts w:ascii="Arial" w:hAnsi="Arial" w:cs="Arial"/>
                <w:sz w:val="24"/>
                <w:szCs w:val="24"/>
              </w:rPr>
              <w:t>D-1</w:t>
            </w:r>
            <w:r w:rsidR="00B10607" w:rsidRPr="00CA2D06">
              <w:rPr>
                <w:rFonts w:ascii="Arial" w:hAnsi="Arial" w:cs="Arial"/>
                <w:sz w:val="24"/>
                <w:szCs w:val="24"/>
              </w:rPr>
              <w:t>1</w:t>
            </w:r>
            <w:r w:rsidR="003846EF" w:rsidRPr="00CA2D06">
              <w:rPr>
                <w:rFonts w:ascii="Arial" w:hAnsi="Arial" w:cs="Arial"/>
                <w:sz w:val="24"/>
                <w:szCs w:val="24"/>
              </w:rPr>
              <w:t>628</w:t>
            </w:r>
          </w:p>
        </w:tc>
      </w:tr>
      <w:tr w:rsidR="003B0087" w:rsidRPr="00CA2D06" w:rsidTr="00803EAE">
        <w:tc>
          <w:tcPr>
            <w:tcW w:w="2122" w:type="dxa"/>
          </w:tcPr>
          <w:p w:rsidR="003B0087" w:rsidRPr="00CA2D06" w:rsidRDefault="003B0087" w:rsidP="003B0087">
            <w:pPr>
              <w:rPr>
                <w:rFonts w:ascii="Arial" w:hAnsi="Arial" w:cs="Arial"/>
                <w:sz w:val="24"/>
                <w:szCs w:val="24"/>
              </w:rPr>
            </w:pPr>
            <w:r w:rsidRPr="00CA2D06">
              <w:rPr>
                <w:rFonts w:ascii="Arial" w:hAnsi="Arial" w:cs="Arial"/>
                <w:sz w:val="24"/>
                <w:szCs w:val="24"/>
              </w:rPr>
              <w:t>Magistrado Ponente</w:t>
            </w:r>
          </w:p>
        </w:tc>
        <w:tc>
          <w:tcPr>
            <w:tcW w:w="6706" w:type="dxa"/>
          </w:tcPr>
          <w:p w:rsidR="003B0087" w:rsidRPr="00CA2D06" w:rsidRDefault="003846EF" w:rsidP="003B0087">
            <w:pPr>
              <w:rPr>
                <w:rFonts w:ascii="Arial" w:hAnsi="Arial" w:cs="Arial"/>
                <w:sz w:val="24"/>
                <w:szCs w:val="24"/>
              </w:rPr>
            </w:pPr>
            <w:r w:rsidRPr="00CA2D06">
              <w:rPr>
                <w:rFonts w:ascii="Arial" w:hAnsi="Arial" w:cs="Arial"/>
                <w:sz w:val="24"/>
                <w:szCs w:val="24"/>
              </w:rPr>
              <w:t>Gloria Stella Ortiz Delgado</w:t>
            </w:r>
          </w:p>
        </w:tc>
      </w:tr>
      <w:tr w:rsidR="003B0087" w:rsidRPr="00CA2D06" w:rsidTr="00803EAE">
        <w:tc>
          <w:tcPr>
            <w:tcW w:w="2122" w:type="dxa"/>
          </w:tcPr>
          <w:p w:rsidR="003B0087" w:rsidRPr="00CA2D06" w:rsidRDefault="003B0087" w:rsidP="003B0087">
            <w:pPr>
              <w:rPr>
                <w:rFonts w:ascii="Arial" w:hAnsi="Arial" w:cs="Arial"/>
                <w:sz w:val="24"/>
                <w:szCs w:val="24"/>
              </w:rPr>
            </w:pPr>
            <w:r w:rsidRPr="00CA2D06">
              <w:rPr>
                <w:rFonts w:ascii="Arial" w:hAnsi="Arial" w:cs="Arial"/>
                <w:sz w:val="24"/>
                <w:szCs w:val="24"/>
              </w:rPr>
              <w:t>Fecha</w:t>
            </w:r>
          </w:p>
        </w:tc>
        <w:tc>
          <w:tcPr>
            <w:tcW w:w="6706" w:type="dxa"/>
          </w:tcPr>
          <w:p w:rsidR="003B0087" w:rsidRPr="00CA2D06" w:rsidRDefault="007F297E" w:rsidP="003B0087">
            <w:pPr>
              <w:rPr>
                <w:rFonts w:ascii="Arial" w:hAnsi="Arial" w:cs="Arial"/>
                <w:sz w:val="24"/>
                <w:szCs w:val="24"/>
              </w:rPr>
            </w:pPr>
            <w:r w:rsidRPr="00CA2D06">
              <w:rPr>
                <w:rFonts w:ascii="Arial" w:hAnsi="Arial" w:cs="Arial"/>
                <w:sz w:val="24"/>
                <w:szCs w:val="24"/>
              </w:rPr>
              <w:t xml:space="preserve">12 </w:t>
            </w:r>
            <w:r w:rsidR="00717D0C" w:rsidRPr="00CA2D06">
              <w:rPr>
                <w:rFonts w:ascii="Arial" w:hAnsi="Arial" w:cs="Arial"/>
                <w:sz w:val="24"/>
                <w:szCs w:val="24"/>
              </w:rPr>
              <w:t>de</w:t>
            </w:r>
            <w:r w:rsidRPr="00CA2D06">
              <w:rPr>
                <w:rFonts w:ascii="Arial" w:hAnsi="Arial" w:cs="Arial"/>
                <w:sz w:val="24"/>
                <w:szCs w:val="24"/>
              </w:rPr>
              <w:t xml:space="preserve"> </w:t>
            </w:r>
            <w:r w:rsidR="003846EF" w:rsidRPr="00CA2D06">
              <w:rPr>
                <w:rFonts w:ascii="Arial" w:hAnsi="Arial" w:cs="Arial"/>
                <w:sz w:val="24"/>
                <w:szCs w:val="24"/>
              </w:rPr>
              <w:t>agosto</w:t>
            </w:r>
            <w:r w:rsidR="00717D0C" w:rsidRPr="00CA2D06">
              <w:rPr>
                <w:rFonts w:ascii="Arial" w:hAnsi="Arial" w:cs="Arial"/>
                <w:sz w:val="24"/>
                <w:szCs w:val="24"/>
              </w:rPr>
              <w:t xml:space="preserve"> de 201</w:t>
            </w:r>
            <w:r w:rsidR="00B10607" w:rsidRPr="00CA2D06">
              <w:rPr>
                <w:rFonts w:ascii="Arial" w:hAnsi="Arial" w:cs="Arial"/>
                <w:sz w:val="24"/>
                <w:szCs w:val="24"/>
              </w:rPr>
              <w:t>6</w:t>
            </w:r>
          </w:p>
        </w:tc>
      </w:tr>
      <w:tr w:rsidR="003B0087" w:rsidRPr="00CA2D06" w:rsidTr="00803EAE">
        <w:tc>
          <w:tcPr>
            <w:tcW w:w="2122" w:type="dxa"/>
          </w:tcPr>
          <w:p w:rsidR="003B0087" w:rsidRPr="00CA2D06" w:rsidRDefault="003B0087" w:rsidP="003B0087">
            <w:pPr>
              <w:rPr>
                <w:rFonts w:ascii="Arial" w:hAnsi="Arial" w:cs="Arial"/>
                <w:sz w:val="24"/>
                <w:szCs w:val="24"/>
              </w:rPr>
            </w:pPr>
            <w:r w:rsidRPr="00CA2D06">
              <w:rPr>
                <w:rFonts w:ascii="Arial" w:hAnsi="Arial" w:cs="Arial"/>
                <w:sz w:val="24"/>
                <w:szCs w:val="24"/>
              </w:rPr>
              <w:t>Tema</w:t>
            </w:r>
          </w:p>
        </w:tc>
        <w:tc>
          <w:tcPr>
            <w:tcW w:w="6706" w:type="dxa"/>
          </w:tcPr>
          <w:p w:rsidR="003B0087" w:rsidRPr="00CA2D06" w:rsidRDefault="003846EF" w:rsidP="003B0087">
            <w:pPr>
              <w:rPr>
                <w:rFonts w:ascii="Arial" w:hAnsi="Arial" w:cs="Arial"/>
                <w:sz w:val="24"/>
                <w:szCs w:val="24"/>
              </w:rPr>
            </w:pPr>
            <w:r w:rsidRPr="00CA2D06">
              <w:rPr>
                <w:rFonts w:ascii="Arial" w:hAnsi="Arial" w:cs="Arial"/>
                <w:sz w:val="24"/>
                <w:szCs w:val="24"/>
              </w:rPr>
              <w:t>Unidad Normativa</w:t>
            </w:r>
          </w:p>
        </w:tc>
      </w:tr>
      <w:tr w:rsidR="003B0087" w:rsidRPr="00CA2D06" w:rsidTr="00803EAE">
        <w:tc>
          <w:tcPr>
            <w:tcW w:w="2122" w:type="dxa"/>
          </w:tcPr>
          <w:p w:rsidR="003B0087" w:rsidRPr="00CA2D06" w:rsidRDefault="003B0087" w:rsidP="003B0087">
            <w:pPr>
              <w:rPr>
                <w:rFonts w:ascii="Arial" w:hAnsi="Arial" w:cs="Arial"/>
                <w:sz w:val="24"/>
                <w:szCs w:val="24"/>
              </w:rPr>
            </w:pPr>
            <w:r w:rsidRPr="00CA2D06">
              <w:rPr>
                <w:rFonts w:ascii="Arial" w:hAnsi="Arial" w:cs="Arial"/>
                <w:sz w:val="24"/>
                <w:szCs w:val="24"/>
              </w:rPr>
              <w:t>Norma demandada</w:t>
            </w:r>
          </w:p>
        </w:tc>
        <w:tc>
          <w:tcPr>
            <w:tcW w:w="6706" w:type="dxa"/>
          </w:tcPr>
          <w:p w:rsidR="00CA2D06" w:rsidRPr="00CA2D06" w:rsidRDefault="00CA2D06" w:rsidP="00CA2D06">
            <w:pPr>
              <w:jc w:val="both"/>
              <w:rPr>
                <w:rFonts w:ascii="Arial" w:hAnsi="Arial" w:cs="Arial"/>
                <w:b/>
                <w:bCs/>
                <w:sz w:val="24"/>
                <w:szCs w:val="24"/>
              </w:rPr>
            </w:pPr>
            <w:bookmarkStart w:id="0" w:name="_GoBack"/>
            <w:r w:rsidRPr="00CA2D06">
              <w:rPr>
                <w:rFonts w:ascii="Arial" w:hAnsi="Arial" w:cs="Arial"/>
                <w:b/>
                <w:bCs/>
                <w:sz w:val="24"/>
                <w:szCs w:val="24"/>
              </w:rPr>
              <w:t xml:space="preserve">Ley 1564 de 2012. Artículo 1. </w:t>
            </w:r>
            <w:bookmarkStart w:id="1" w:name="1"/>
            <w:r w:rsidRPr="00CA2D06">
              <w:rPr>
                <w:rFonts w:ascii="Arial" w:hAnsi="Arial" w:cs="Arial"/>
                <w:b/>
                <w:bCs/>
                <w:sz w:val="24"/>
                <w:szCs w:val="24"/>
              </w:rPr>
              <w:t>Objeto.</w:t>
            </w:r>
            <w:bookmarkEnd w:id="1"/>
            <w:r w:rsidRPr="00CA2D06">
              <w:rPr>
                <w:rFonts w:ascii="Arial" w:hAnsi="Arial" w:cs="Arial"/>
                <w:b/>
                <w:bCs/>
                <w:sz w:val="24"/>
                <w:szCs w:val="24"/>
              </w:rPr>
              <w:t> ‘‘</w:t>
            </w:r>
            <w:r w:rsidRPr="00CA2D06">
              <w:rPr>
                <w:rFonts w:ascii="Arial" w:hAnsi="Arial" w:cs="Arial"/>
                <w:bCs/>
                <w:i/>
                <w:sz w:val="24"/>
                <w:szCs w:val="24"/>
              </w:rPr>
              <w:t>Este código regula la actividad procesal en los asuntos civiles, comerciales, de familia y agrarios. Se aplica, además, a todos los asuntos de cualquier jurisdicción o especialidad y a las actuaciones de particulares y autoridades administrativas, cuando ejerzan funciones jurisdiccionales, en cuanto no estén regulados expresamente en otras leyes.</w:t>
            </w:r>
            <w:r w:rsidRPr="00CA2D06">
              <w:rPr>
                <w:rFonts w:ascii="Arial" w:hAnsi="Arial" w:cs="Arial"/>
                <w:bCs/>
                <w:sz w:val="24"/>
                <w:szCs w:val="24"/>
              </w:rPr>
              <w:t>’’</w:t>
            </w:r>
          </w:p>
          <w:p w:rsidR="00CA2D06" w:rsidRPr="00CA2D06" w:rsidRDefault="00CA2D06" w:rsidP="00CA2D06">
            <w:pPr>
              <w:jc w:val="both"/>
              <w:rPr>
                <w:rFonts w:ascii="Arial" w:hAnsi="Arial" w:cs="Arial"/>
                <w:bCs/>
                <w:i/>
                <w:sz w:val="24"/>
                <w:szCs w:val="24"/>
              </w:rPr>
            </w:pPr>
            <w:r w:rsidRPr="00CA2D06">
              <w:rPr>
                <w:rFonts w:ascii="Arial" w:hAnsi="Arial" w:cs="Arial"/>
                <w:b/>
                <w:bCs/>
                <w:sz w:val="24"/>
                <w:szCs w:val="24"/>
              </w:rPr>
              <w:t xml:space="preserve">Ley 1564 de 2012. Artículo 94. </w:t>
            </w:r>
            <w:bookmarkStart w:id="2" w:name="94"/>
            <w:r w:rsidRPr="00CA2D06">
              <w:rPr>
                <w:rFonts w:ascii="Arial" w:hAnsi="Arial" w:cs="Arial"/>
                <w:b/>
                <w:bCs/>
                <w:sz w:val="24"/>
                <w:szCs w:val="24"/>
              </w:rPr>
              <w:t>Interrupción de la prescripción, inoperancia de la caducidad y constitución en mora</w:t>
            </w:r>
            <w:r w:rsidRPr="00CA2D06">
              <w:rPr>
                <w:rFonts w:ascii="Arial" w:hAnsi="Arial" w:cs="Arial"/>
                <w:bCs/>
                <w:sz w:val="24"/>
                <w:szCs w:val="24"/>
              </w:rPr>
              <w:t>.</w:t>
            </w:r>
            <w:bookmarkEnd w:id="2"/>
            <w:r w:rsidRPr="00CA2D06">
              <w:rPr>
                <w:rFonts w:ascii="Arial" w:hAnsi="Arial" w:cs="Arial"/>
                <w:bCs/>
                <w:sz w:val="24"/>
                <w:szCs w:val="24"/>
              </w:rPr>
              <w:t> ‘‘</w:t>
            </w:r>
            <w:r w:rsidRPr="00CA2D06">
              <w:rPr>
                <w:rFonts w:ascii="Arial" w:hAnsi="Arial" w:cs="Arial"/>
                <w:bCs/>
                <w:i/>
                <w:sz w:val="24"/>
                <w:szCs w:val="24"/>
              </w:rPr>
              <w:t>La presentación de la demanda interrumpe el término para la prescripción e impide que se produzca la caducidad siempre que el auto admisorio de aquella o el mandamiento ejecutivo se notifique al demandado dentro del término de un (1) año contado a partir del día siguiente a la notificación de tales providencias al demandante. Pasado este término, los mencionados efectos solo se producirán con la notificación al demandado.</w:t>
            </w:r>
          </w:p>
          <w:p w:rsidR="00CA2D06" w:rsidRPr="00CA2D06" w:rsidRDefault="00CA2D06" w:rsidP="00CA2D06">
            <w:pPr>
              <w:jc w:val="both"/>
              <w:rPr>
                <w:rFonts w:ascii="Arial" w:hAnsi="Arial" w:cs="Arial"/>
                <w:bCs/>
                <w:i/>
                <w:sz w:val="24"/>
                <w:szCs w:val="24"/>
              </w:rPr>
            </w:pPr>
            <w:r w:rsidRPr="00CA2D06">
              <w:rPr>
                <w:rFonts w:ascii="Arial" w:hAnsi="Arial" w:cs="Arial"/>
                <w:bCs/>
                <w:i/>
                <w:sz w:val="24"/>
                <w:szCs w:val="24"/>
              </w:rPr>
              <w:t>La notificación del auto admisorio de la demanda o del mandamiento ejecutivo produce el efecto del requerimiento judicial para constituir en mora al deudor, cuando la ley lo exija para tal fin, y la notificación de la cesión del crédito, si no se hubiere efectuado antes. Los efectos de la mora solo se producirán a partir de la notificación.</w:t>
            </w:r>
          </w:p>
          <w:p w:rsidR="00CA2D06" w:rsidRPr="00CA2D06" w:rsidRDefault="00CA2D06" w:rsidP="00CA2D06">
            <w:pPr>
              <w:jc w:val="both"/>
              <w:rPr>
                <w:rFonts w:ascii="Arial" w:hAnsi="Arial" w:cs="Arial"/>
                <w:bCs/>
                <w:i/>
                <w:sz w:val="24"/>
                <w:szCs w:val="24"/>
              </w:rPr>
            </w:pPr>
            <w:r w:rsidRPr="00CA2D06">
              <w:rPr>
                <w:rFonts w:ascii="Arial" w:hAnsi="Arial" w:cs="Arial"/>
                <w:bCs/>
                <w:i/>
                <w:sz w:val="24"/>
                <w:szCs w:val="24"/>
              </w:rPr>
              <w:t xml:space="preserve">La notificación del auto que declara abierto el proceso de sucesión a los </w:t>
            </w:r>
            <w:proofErr w:type="gramStart"/>
            <w:r w:rsidRPr="00CA2D06">
              <w:rPr>
                <w:rFonts w:ascii="Arial" w:hAnsi="Arial" w:cs="Arial"/>
                <w:bCs/>
                <w:i/>
                <w:sz w:val="24"/>
                <w:szCs w:val="24"/>
              </w:rPr>
              <w:t>asignatarios,</w:t>
            </w:r>
            <w:proofErr w:type="gramEnd"/>
            <w:r w:rsidRPr="00CA2D06">
              <w:rPr>
                <w:rFonts w:ascii="Arial" w:hAnsi="Arial" w:cs="Arial"/>
                <w:bCs/>
                <w:i/>
                <w:sz w:val="24"/>
                <w:szCs w:val="24"/>
              </w:rPr>
              <w:t xml:space="preserve"> también constituye requerimiento judicial para constituir en mora de declarar si aceptan o repudian la asignación que se les hubiere deferido.</w:t>
            </w:r>
          </w:p>
          <w:p w:rsidR="00CA2D06" w:rsidRPr="00CA2D06" w:rsidRDefault="00CA2D06" w:rsidP="00CA2D06">
            <w:pPr>
              <w:jc w:val="both"/>
              <w:rPr>
                <w:rFonts w:ascii="Arial" w:hAnsi="Arial" w:cs="Arial"/>
                <w:bCs/>
                <w:i/>
                <w:sz w:val="24"/>
                <w:szCs w:val="24"/>
              </w:rPr>
            </w:pPr>
            <w:r w:rsidRPr="00CA2D06">
              <w:rPr>
                <w:rFonts w:ascii="Arial" w:hAnsi="Arial" w:cs="Arial"/>
                <w:bCs/>
                <w:i/>
                <w:sz w:val="24"/>
                <w:szCs w:val="24"/>
              </w:rPr>
              <w:t xml:space="preserve">Si fueren varios los demandados y existiere entre ellos litisconsorcio facultativo, los efectos de la notificación a los que se refiere este artículo se surtirán para cada uno separadamente, salvo norma sustancial o procesal en contrario. Si el litisconsorcio fuere necesario será </w:t>
            </w:r>
            <w:r w:rsidRPr="00CA2D06">
              <w:rPr>
                <w:rFonts w:ascii="Arial" w:hAnsi="Arial" w:cs="Arial"/>
                <w:bCs/>
                <w:i/>
                <w:sz w:val="24"/>
                <w:szCs w:val="24"/>
              </w:rPr>
              <w:lastRenderedPageBreak/>
              <w:t>indispensable la notificación a todos ellos para que se surtan dichos efectos.</w:t>
            </w:r>
          </w:p>
          <w:p w:rsidR="007F297E" w:rsidRPr="00CA2D06" w:rsidRDefault="00CA2D06" w:rsidP="00CA2D06">
            <w:pPr>
              <w:jc w:val="both"/>
              <w:rPr>
                <w:rFonts w:ascii="Arial" w:hAnsi="Arial" w:cs="Arial"/>
                <w:i/>
                <w:sz w:val="24"/>
                <w:szCs w:val="24"/>
              </w:rPr>
            </w:pPr>
            <w:r w:rsidRPr="00CA2D06">
              <w:rPr>
                <w:rFonts w:ascii="Arial" w:hAnsi="Arial" w:cs="Arial"/>
                <w:bCs/>
                <w:i/>
                <w:sz w:val="24"/>
                <w:szCs w:val="24"/>
              </w:rPr>
              <w:t>El término de prescripción también se interrumpe por el requerimiento escrito realizado al deudor directamente por el acreedor. Este requerimiento solo podrá hacerse por una vez.’</w:t>
            </w:r>
            <w:r w:rsidRPr="00CA2D06">
              <w:rPr>
                <w:rFonts w:ascii="Arial" w:hAnsi="Arial" w:cs="Arial"/>
                <w:bCs/>
                <w:sz w:val="24"/>
                <w:szCs w:val="24"/>
              </w:rPr>
              <w:t>’</w:t>
            </w:r>
            <w:bookmarkEnd w:id="0"/>
          </w:p>
        </w:tc>
      </w:tr>
    </w:tbl>
    <w:p w:rsidR="003B0087" w:rsidRPr="00CA2D06" w:rsidRDefault="003B0087" w:rsidP="003B0087">
      <w:pPr>
        <w:rPr>
          <w:rFonts w:ascii="Arial" w:hAnsi="Arial" w:cs="Arial"/>
          <w:b/>
          <w:sz w:val="24"/>
          <w:szCs w:val="24"/>
        </w:rPr>
      </w:pPr>
    </w:p>
    <w:p w:rsidR="003B0087" w:rsidRPr="00CA2D06" w:rsidRDefault="003B0087" w:rsidP="003B0087">
      <w:pPr>
        <w:numPr>
          <w:ilvl w:val="0"/>
          <w:numId w:val="1"/>
        </w:numPr>
        <w:rPr>
          <w:rFonts w:ascii="Arial" w:hAnsi="Arial" w:cs="Arial"/>
          <w:b/>
          <w:sz w:val="24"/>
          <w:szCs w:val="24"/>
        </w:rPr>
      </w:pPr>
      <w:r w:rsidRPr="00CA2D06">
        <w:rPr>
          <w:rFonts w:ascii="Arial" w:hAnsi="Arial" w:cs="Arial"/>
          <w:b/>
          <w:sz w:val="24"/>
          <w:szCs w:val="24"/>
        </w:rPr>
        <w:t>Cargos del accionante</w:t>
      </w:r>
    </w:p>
    <w:p w:rsidR="009938EA" w:rsidRPr="00CA2D06" w:rsidRDefault="009C5739" w:rsidP="009938EA">
      <w:pPr>
        <w:jc w:val="both"/>
        <w:rPr>
          <w:rFonts w:ascii="Arial" w:hAnsi="Arial" w:cs="Arial"/>
          <w:sz w:val="24"/>
          <w:szCs w:val="24"/>
        </w:rPr>
      </w:pPr>
      <w:r w:rsidRPr="00CA2D06">
        <w:rPr>
          <w:rFonts w:ascii="Arial" w:hAnsi="Arial" w:cs="Arial"/>
          <w:sz w:val="24"/>
          <w:szCs w:val="24"/>
        </w:rPr>
        <w:t xml:space="preserve">La </w:t>
      </w:r>
      <w:r w:rsidR="002B4B23" w:rsidRPr="00CA2D06">
        <w:rPr>
          <w:rFonts w:ascii="Arial" w:hAnsi="Arial" w:cs="Arial"/>
          <w:sz w:val="24"/>
          <w:szCs w:val="24"/>
        </w:rPr>
        <w:t>demandante manifiesta que</w:t>
      </w:r>
      <w:r w:rsidR="003846EF" w:rsidRPr="00CA2D06">
        <w:rPr>
          <w:rFonts w:ascii="Arial" w:hAnsi="Arial" w:cs="Arial"/>
          <w:sz w:val="24"/>
          <w:szCs w:val="24"/>
        </w:rPr>
        <w:t xml:space="preserve"> los artículos 1 y 94 del Código General</w:t>
      </w:r>
      <w:r w:rsidR="007D3187" w:rsidRPr="00CA2D06">
        <w:rPr>
          <w:rFonts w:ascii="Arial" w:hAnsi="Arial" w:cs="Arial"/>
          <w:sz w:val="24"/>
          <w:szCs w:val="24"/>
        </w:rPr>
        <w:t xml:space="preserve"> del Proceso</w:t>
      </w:r>
      <w:r w:rsidR="003846EF" w:rsidRPr="00CA2D06">
        <w:rPr>
          <w:rFonts w:ascii="Arial" w:hAnsi="Arial" w:cs="Arial"/>
          <w:sz w:val="24"/>
          <w:szCs w:val="24"/>
        </w:rPr>
        <w:t xml:space="preserve"> rompen la unidad normativa, pues es una norma que extiende sus efectos a todos los procedimientos de las </w:t>
      </w:r>
      <w:r w:rsidRPr="00CA2D06">
        <w:rPr>
          <w:rFonts w:ascii="Arial" w:hAnsi="Arial" w:cs="Arial"/>
          <w:sz w:val="24"/>
          <w:szCs w:val="24"/>
        </w:rPr>
        <w:t>distintas jurisdicciones</w:t>
      </w:r>
      <w:r w:rsidR="003846EF" w:rsidRPr="00CA2D06">
        <w:rPr>
          <w:rFonts w:ascii="Arial" w:hAnsi="Arial" w:cs="Arial"/>
          <w:sz w:val="24"/>
          <w:szCs w:val="24"/>
        </w:rPr>
        <w:t>, presentando serias contradicciones con el Código Procesal del Trabajo y la Seguridad Social</w:t>
      </w:r>
      <w:r w:rsidR="006412BA" w:rsidRPr="00CA2D06">
        <w:rPr>
          <w:rFonts w:ascii="Arial" w:hAnsi="Arial" w:cs="Arial"/>
          <w:sz w:val="24"/>
          <w:szCs w:val="24"/>
        </w:rPr>
        <w:t>, por lo que se incurrió en una omisión legislativa relativa, dado que no se contemplaron las diferencias entre una y otra jurisdicción.</w:t>
      </w:r>
    </w:p>
    <w:p w:rsidR="006412BA" w:rsidRPr="00CA2D06" w:rsidRDefault="00D65B10" w:rsidP="009938EA">
      <w:pPr>
        <w:jc w:val="both"/>
        <w:rPr>
          <w:rFonts w:ascii="Arial" w:hAnsi="Arial" w:cs="Arial"/>
          <w:sz w:val="24"/>
          <w:szCs w:val="24"/>
        </w:rPr>
      </w:pPr>
      <w:r w:rsidRPr="00CA2D06">
        <w:rPr>
          <w:rFonts w:ascii="Arial" w:hAnsi="Arial" w:cs="Arial"/>
          <w:sz w:val="24"/>
          <w:szCs w:val="24"/>
        </w:rPr>
        <w:t xml:space="preserve">Igualmente, se vulnera la autonomía jurisdiccional del trabajo y la seguridad social pues en dicho de la actora, “se imponen instituciones </w:t>
      </w:r>
      <w:r w:rsidR="001162D4" w:rsidRPr="00CA2D06">
        <w:rPr>
          <w:rFonts w:ascii="Arial" w:hAnsi="Arial" w:cs="Arial"/>
          <w:sz w:val="24"/>
          <w:szCs w:val="24"/>
        </w:rPr>
        <w:t>prescriptivas y de caducidad del Código General del Proceso, tendrá como consecuencia la desnaturalización del principio de imprescriptibilidad de los derechos del trabajo y de la seguridad social, los que están conexos al derecho fundamental al mínimo vital y a la subsistencia en condiciones de la vida digna”. Lo anterior, porque en criterio de la demandante, no se puede acoplar el Código General del Proceso al procedimiento laboral, pues no fue pensado en pro de los derechos de los trabajadores, no tiene en cuenta el “</w:t>
      </w:r>
      <w:proofErr w:type="spellStart"/>
      <w:r w:rsidR="001162D4" w:rsidRPr="00CA2D06">
        <w:rPr>
          <w:rFonts w:ascii="Arial" w:hAnsi="Arial" w:cs="Arial"/>
          <w:i/>
          <w:sz w:val="24"/>
          <w:szCs w:val="24"/>
        </w:rPr>
        <w:t>indubio</w:t>
      </w:r>
      <w:proofErr w:type="spellEnd"/>
      <w:r w:rsidR="001162D4" w:rsidRPr="00CA2D06">
        <w:rPr>
          <w:rFonts w:ascii="Arial" w:hAnsi="Arial" w:cs="Arial"/>
          <w:i/>
          <w:sz w:val="24"/>
          <w:szCs w:val="24"/>
        </w:rPr>
        <w:t xml:space="preserve"> </w:t>
      </w:r>
      <w:proofErr w:type="gramStart"/>
      <w:r w:rsidR="001162D4" w:rsidRPr="00CA2D06">
        <w:rPr>
          <w:rFonts w:ascii="Arial" w:hAnsi="Arial" w:cs="Arial"/>
          <w:i/>
          <w:sz w:val="24"/>
          <w:szCs w:val="24"/>
        </w:rPr>
        <w:t>pro operario</w:t>
      </w:r>
      <w:proofErr w:type="gramEnd"/>
      <w:r w:rsidR="001162D4" w:rsidRPr="00CA2D06">
        <w:rPr>
          <w:rFonts w:ascii="Arial" w:hAnsi="Arial" w:cs="Arial"/>
          <w:sz w:val="24"/>
          <w:szCs w:val="24"/>
        </w:rPr>
        <w:t>” e introduce los fenómenos de la prescripción y caducidad para derechos que son imprescriptibles.</w:t>
      </w:r>
    </w:p>
    <w:p w:rsidR="003B0087" w:rsidRPr="00CA2D06" w:rsidRDefault="003B0087" w:rsidP="003B0087">
      <w:pPr>
        <w:numPr>
          <w:ilvl w:val="0"/>
          <w:numId w:val="1"/>
        </w:numPr>
        <w:rPr>
          <w:rFonts w:ascii="Arial" w:hAnsi="Arial" w:cs="Arial"/>
          <w:b/>
          <w:sz w:val="24"/>
          <w:szCs w:val="24"/>
        </w:rPr>
      </w:pPr>
      <w:r w:rsidRPr="00CA2D06">
        <w:rPr>
          <w:rFonts w:ascii="Arial" w:hAnsi="Arial" w:cs="Arial"/>
          <w:b/>
          <w:sz w:val="24"/>
          <w:szCs w:val="24"/>
        </w:rPr>
        <w:t>Actuación</w:t>
      </w:r>
    </w:p>
    <w:p w:rsidR="00090C2A" w:rsidRPr="00CA2D06" w:rsidRDefault="009938EA">
      <w:pPr>
        <w:rPr>
          <w:rFonts w:ascii="Arial" w:hAnsi="Arial" w:cs="Arial"/>
          <w:sz w:val="24"/>
          <w:szCs w:val="24"/>
        </w:rPr>
      </w:pPr>
      <w:r w:rsidRPr="00CA2D06">
        <w:rPr>
          <w:rFonts w:ascii="Arial" w:hAnsi="Arial" w:cs="Arial"/>
          <w:sz w:val="24"/>
          <w:szCs w:val="24"/>
        </w:rPr>
        <w:t xml:space="preserve">Rechazada mediante auto del </w:t>
      </w:r>
      <w:r w:rsidR="003846EF" w:rsidRPr="00CA2D06">
        <w:rPr>
          <w:rFonts w:ascii="Arial" w:hAnsi="Arial" w:cs="Arial"/>
          <w:sz w:val="24"/>
          <w:szCs w:val="24"/>
        </w:rPr>
        <w:t>22</w:t>
      </w:r>
      <w:r w:rsidRPr="00CA2D06">
        <w:rPr>
          <w:rFonts w:ascii="Arial" w:hAnsi="Arial" w:cs="Arial"/>
          <w:sz w:val="24"/>
          <w:szCs w:val="24"/>
        </w:rPr>
        <w:t xml:space="preserve"> de </w:t>
      </w:r>
      <w:r w:rsidR="003846EF" w:rsidRPr="00CA2D06">
        <w:rPr>
          <w:rFonts w:ascii="Arial" w:hAnsi="Arial" w:cs="Arial"/>
          <w:sz w:val="24"/>
          <w:szCs w:val="24"/>
        </w:rPr>
        <w:t>septiembre</w:t>
      </w:r>
      <w:r w:rsidRPr="00CA2D06">
        <w:rPr>
          <w:rFonts w:ascii="Arial" w:hAnsi="Arial" w:cs="Arial"/>
          <w:sz w:val="24"/>
          <w:szCs w:val="24"/>
        </w:rPr>
        <w:t xml:space="preserve"> de 2016.</w:t>
      </w:r>
    </w:p>
    <w:sectPr w:rsidR="00090C2A" w:rsidRPr="00CA2D06" w:rsidSect="00373532">
      <w:headerReference w:type="default" r:id="rId7"/>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CB6" w:rsidRDefault="00591CB6" w:rsidP="003B0087">
      <w:pPr>
        <w:spacing w:after="0" w:line="240" w:lineRule="auto"/>
      </w:pPr>
      <w:r>
        <w:separator/>
      </w:r>
    </w:p>
  </w:endnote>
  <w:endnote w:type="continuationSeparator" w:id="0">
    <w:p w:rsidR="00591CB6" w:rsidRDefault="00591CB6" w:rsidP="003B0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CB6" w:rsidRDefault="00591CB6" w:rsidP="003B0087">
      <w:pPr>
        <w:spacing w:after="0" w:line="240" w:lineRule="auto"/>
      </w:pPr>
      <w:r>
        <w:separator/>
      </w:r>
    </w:p>
  </w:footnote>
  <w:footnote w:type="continuationSeparator" w:id="0">
    <w:p w:rsidR="00591CB6" w:rsidRDefault="00591CB6" w:rsidP="003B0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6EF" w:rsidRDefault="001C17D7">
    <w:pPr>
      <w:pStyle w:val="Encabezado"/>
    </w:pPr>
    <w:r>
      <w:t>EXP. D-1</w:t>
    </w:r>
    <w:r w:rsidR="00B10607">
      <w:t>1</w:t>
    </w:r>
    <w:r w:rsidR="003846EF">
      <w:t>628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7A170A"/>
    <w:multiLevelType w:val="hybridMultilevel"/>
    <w:tmpl w:val="368E36CC"/>
    <w:lvl w:ilvl="0" w:tplc="A2004350">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087"/>
    <w:rsid w:val="000979D2"/>
    <w:rsid w:val="001162D4"/>
    <w:rsid w:val="0015394A"/>
    <w:rsid w:val="001C17D7"/>
    <w:rsid w:val="002153FB"/>
    <w:rsid w:val="00235ADB"/>
    <w:rsid w:val="00253FCD"/>
    <w:rsid w:val="002B4B23"/>
    <w:rsid w:val="002B5867"/>
    <w:rsid w:val="00316617"/>
    <w:rsid w:val="003846EF"/>
    <w:rsid w:val="003B0087"/>
    <w:rsid w:val="00405A5E"/>
    <w:rsid w:val="004C6164"/>
    <w:rsid w:val="004E4D66"/>
    <w:rsid w:val="005141CF"/>
    <w:rsid w:val="00563074"/>
    <w:rsid w:val="00591CB6"/>
    <w:rsid w:val="00594EA8"/>
    <w:rsid w:val="00637DCA"/>
    <w:rsid w:val="006412BA"/>
    <w:rsid w:val="006843FD"/>
    <w:rsid w:val="00717D0C"/>
    <w:rsid w:val="007D3187"/>
    <w:rsid w:val="007F297E"/>
    <w:rsid w:val="00803EAE"/>
    <w:rsid w:val="0083003F"/>
    <w:rsid w:val="00846B60"/>
    <w:rsid w:val="009938EA"/>
    <w:rsid w:val="009C5739"/>
    <w:rsid w:val="00B10607"/>
    <w:rsid w:val="00BF579C"/>
    <w:rsid w:val="00CA2D06"/>
    <w:rsid w:val="00D65B1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B90E7"/>
  <w15:chartTrackingRefBased/>
  <w15:docId w15:val="{81BC65D3-30B8-4687-94A8-A24C1E57C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B00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0087"/>
  </w:style>
  <w:style w:type="paragraph" w:styleId="Piedepgina">
    <w:name w:val="footer"/>
    <w:basedOn w:val="Normal"/>
    <w:link w:val="PiedepginaCar"/>
    <w:uiPriority w:val="99"/>
    <w:unhideWhenUsed/>
    <w:rsid w:val="003B00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0087"/>
  </w:style>
  <w:style w:type="paragraph" w:styleId="NormalWeb">
    <w:name w:val="Normal (Web)"/>
    <w:basedOn w:val="Normal"/>
    <w:uiPriority w:val="99"/>
    <w:semiHidden/>
    <w:unhideWhenUsed/>
    <w:rsid w:val="00594EA8"/>
    <w:rPr>
      <w:rFonts w:ascii="Times New Roman" w:hAnsi="Times New Roman" w:cs="Times New Roman"/>
      <w:sz w:val="24"/>
      <w:szCs w:val="24"/>
    </w:rPr>
  </w:style>
  <w:style w:type="character" w:styleId="Hipervnculo">
    <w:name w:val="Hyperlink"/>
    <w:basedOn w:val="Fuentedeprrafopredeter"/>
    <w:uiPriority w:val="99"/>
    <w:unhideWhenUsed/>
    <w:rsid w:val="00594EA8"/>
    <w:rPr>
      <w:color w:val="0563C1" w:themeColor="hyperlink"/>
      <w:u w:val="single"/>
    </w:rPr>
  </w:style>
  <w:style w:type="character" w:styleId="Mencinsinresolver">
    <w:name w:val="Unresolved Mention"/>
    <w:basedOn w:val="Fuentedeprrafopredeter"/>
    <w:uiPriority w:val="99"/>
    <w:semiHidden/>
    <w:unhideWhenUsed/>
    <w:rsid w:val="00594EA8"/>
    <w:rPr>
      <w:color w:val="808080"/>
      <w:shd w:val="clear" w:color="auto" w:fill="E6E6E6"/>
    </w:rPr>
  </w:style>
  <w:style w:type="character" w:styleId="Hipervnculovisitado">
    <w:name w:val="FollowedHyperlink"/>
    <w:basedOn w:val="Fuentedeprrafopredeter"/>
    <w:uiPriority w:val="99"/>
    <w:semiHidden/>
    <w:unhideWhenUsed/>
    <w:rsid w:val="007F29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79257">
      <w:bodyDiv w:val="1"/>
      <w:marLeft w:val="0"/>
      <w:marRight w:val="0"/>
      <w:marTop w:val="0"/>
      <w:marBottom w:val="0"/>
      <w:divBdr>
        <w:top w:val="none" w:sz="0" w:space="0" w:color="auto"/>
        <w:left w:val="none" w:sz="0" w:space="0" w:color="auto"/>
        <w:bottom w:val="none" w:sz="0" w:space="0" w:color="auto"/>
        <w:right w:val="none" w:sz="0" w:space="0" w:color="auto"/>
      </w:divBdr>
    </w:div>
    <w:div w:id="83918148">
      <w:bodyDiv w:val="1"/>
      <w:marLeft w:val="0"/>
      <w:marRight w:val="0"/>
      <w:marTop w:val="0"/>
      <w:marBottom w:val="0"/>
      <w:divBdr>
        <w:top w:val="none" w:sz="0" w:space="0" w:color="auto"/>
        <w:left w:val="none" w:sz="0" w:space="0" w:color="auto"/>
        <w:bottom w:val="none" w:sz="0" w:space="0" w:color="auto"/>
        <w:right w:val="none" w:sz="0" w:space="0" w:color="auto"/>
      </w:divBdr>
    </w:div>
    <w:div w:id="508909057">
      <w:bodyDiv w:val="1"/>
      <w:marLeft w:val="0"/>
      <w:marRight w:val="0"/>
      <w:marTop w:val="0"/>
      <w:marBottom w:val="0"/>
      <w:divBdr>
        <w:top w:val="none" w:sz="0" w:space="0" w:color="auto"/>
        <w:left w:val="none" w:sz="0" w:space="0" w:color="auto"/>
        <w:bottom w:val="none" w:sz="0" w:space="0" w:color="auto"/>
        <w:right w:val="none" w:sz="0" w:space="0" w:color="auto"/>
      </w:divBdr>
    </w:div>
    <w:div w:id="670454223">
      <w:bodyDiv w:val="1"/>
      <w:marLeft w:val="0"/>
      <w:marRight w:val="0"/>
      <w:marTop w:val="0"/>
      <w:marBottom w:val="0"/>
      <w:divBdr>
        <w:top w:val="none" w:sz="0" w:space="0" w:color="auto"/>
        <w:left w:val="none" w:sz="0" w:space="0" w:color="auto"/>
        <w:bottom w:val="none" w:sz="0" w:space="0" w:color="auto"/>
        <w:right w:val="none" w:sz="0" w:space="0" w:color="auto"/>
      </w:divBdr>
    </w:div>
    <w:div w:id="1491369469">
      <w:bodyDiv w:val="1"/>
      <w:marLeft w:val="0"/>
      <w:marRight w:val="0"/>
      <w:marTop w:val="0"/>
      <w:marBottom w:val="0"/>
      <w:divBdr>
        <w:top w:val="none" w:sz="0" w:space="0" w:color="auto"/>
        <w:left w:val="none" w:sz="0" w:space="0" w:color="auto"/>
        <w:bottom w:val="none" w:sz="0" w:space="0" w:color="auto"/>
        <w:right w:val="none" w:sz="0" w:space="0" w:color="auto"/>
      </w:divBdr>
    </w:div>
    <w:div w:id="1950550028">
      <w:bodyDiv w:val="1"/>
      <w:marLeft w:val="0"/>
      <w:marRight w:val="0"/>
      <w:marTop w:val="0"/>
      <w:marBottom w:val="0"/>
      <w:divBdr>
        <w:top w:val="none" w:sz="0" w:space="0" w:color="auto"/>
        <w:left w:val="none" w:sz="0" w:space="0" w:color="auto"/>
        <w:bottom w:val="none" w:sz="0" w:space="0" w:color="auto"/>
        <w:right w:val="none" w:sz="0" w:space="0" w:color="auto"/>
      </w:divBdr>
    </w:div>
    <w:div w:id="2011247292">
      <w:bodyDiv w:val="1"/>
      <w:marLeft w:val="0"/>
      <w:marRight w:val="0"/>
      <w:marTop w:val="0"/>
      <w:marBottom w:val="0"/>
      <w:divBdr>
        <w:top w:val="none" w:sz="0" w:space="0" w:color="auto"/>
        <w:left w:val="none" w:sz="0" w:space="0" w:color="auto"/>
        <w:bottom w:val="none" w:sz="0" w:space="0" w:color="auto"/>
        <w:right w:val="none" w:sz="0" w:space="0" w:color="auto"/>
      </w:divBdr>
    </w:div>
    <w:div w:id="211362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2968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Robles Ustariz</dc:creator>
  <cp:keywords/>
  <dc:description/>
  <cp:lastModifiedBy>Martha Robles Ustariz</cp:lastModifiedBy>
  <cp:revision>3</cp:revision>
  <dcterms:created xsi:type="dcterms:W3CDTF">2019-03-19T00:57:00Z</dcterms:created>
  <dcterms:modified xsi:type="dcterms:W3CDTF">2019-03-21T10:30:00Z</dcterms:modified>
</cp:coreProperties>
</file>